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4001C2" w14:textId="1BF8D14F" w:rsidR="00D109C1" w:rsidRPr="00D109C1" w:rsidRDefault="00FB099E" w:rsidP="00030969">
      <w:r>
        <w:rPr>
          <w:noProof/>
        </w:rPr>
        <w:drawing>
          <wp:anchor distT="0" distB="0" distL="114300" distR="114300" simplePos="0" relativeHeight="251661312" behindDoc="0" locked="0" layoutInCell="1" allowOverlap="1" wp14:anchorId="35A23772" wp14:editId="4664A64E">
            <wp:simplePos x="0" y="0"/>
            <wp:positionH relativeFrom="margin">
              <wp:posOffset>970672</wp:posOffset>
            </wp:positionH>
            <wp:positionV relativeFrom="paragraph">
              <wp:posOffset>-120650</wp:posOffset>
            </wp:positionV>
            <wp:extent cx="4002255" cy="133408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DVISta-Logo-Plain-Color PNG.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02255" cy="1334085"/>
                    </a:xfrm>
                    <a:prstGeom prst="rect">
                      <a:avLst/>
                    </a:prstGeom>
                  </pic:spPr>
                </pic:pic>
              </a:graphicData>
            </a:graphic>
            <wp14:sizeRelH relativeFrom="page">
              <wp14:pctWidth>0</wp14:pctWidth>
            </wp14:sizeRelH>
            <wp14:sizeRelV relativeFrom="page">
              <wp14:pctHeight>0</wp14:pctHeight>
            </wp14:sizeRelV>
          </wp:anchor>
        </w:drawing>
      </w:r>
    </w:p>
    <w:p w14:paraId="2AE0469B" w14:textId="7542BA7A" w:rsidR="00A40B7F" w:rsidRDefault="00A40B7F" w:rsidP="00A40B7F">
      <w:pPr>
        <w:jc w:val="center"/>
        <w:rPr>
          <w:rFonts w:cs="Arial"/>
          <w:caps/>
          <w:sz w:val="48"/>
        </w:rPr>
      </w:pPr>
      <w:bookmarkStart w:id="0" w:name="_x84r14w3g9r7" w:colFirst="0" w:colLast="0"/>
      <w:bookmarkStart w:id="1" w:name="_houq13783nr7" w:colFirst="0" w:colLast="0"/>
      <w:bookmarkStart w:id="2" w:name="_Toc514084918"/>
      <w:bookmarkStart w:id="3" w:name="_Toc515476644"/>
      <w:bookmarkEnd w:id="0"/>
      <w:bookmarkEnd w:id="1"/>
    </w:p>
    <w:p w14:paraId="00035547" w14:textId="71596F30" w:rsidR="00A40B7F" w:rsidRPr="0079438F" w:rsidRDefault="00FB099E" w:rsidP="00B46869">
      <w:pPr>
        <w:pStyle w:val="TemplateTitle"/>
      </w:pPr>
      <w:r>
        <w:br/>
      </w:r>
      <w:r w:rsidR="002A7473">
        <w:t>Non-Permanence Risk Report</w:t>
      </w:r>
      <w:r w:rsidR="00A40B7F" w:rsidRPr="00030969">
        <w:t xml:space="preserve"> TITLE</w:t>
      </w:r>
    </w:p>
    <w:p w14:paraId="1AEB3AD2" w14:textId="0623606F" w:rsidR="00A40B7F" w:rsidRPr="00030969" w:rsidRDefault="00A40B7F" w:rsidP="0079438F">
      <w:pPr>
        <w:spacing w:before="360" w:after="80"/>
        <w:jc w:val="center"/>
        <w:rPr>
          <w:rFonts w:ascii="Century Gothic" w:hAnsi="Century Gothic"/>
          <w:sz w:val="26"/>
          <w:szCs w:val="26"/>
        </w:rPr>
      </w:pPr>
      <w:r w:rsidRPr="00030969">
        <w:rPr>
          <w:rFonts w:ascii="Century Gothic" w:hAnsi="Century Gothic"/>
          <w:sz w:val="26"/>
          <w:szCs w:val="26"/>
        </w:rPr>
        <w:t xml:space="preserve"> </w:t>
      </w:r>
      <w:r w:rsidR="00013761">
        <w:rPr>
          <w:rFonts w:ascii="Century Gothic" w:hAnsi="Century Gothic"/>
          <w:noProof/>
          <w:sz w:val="26"/>
          <w:szCs w:val="26"/>
        </w:rPr>
        <w:drawing>
          <wp:inline distT="0" distB="0" distL="0" distR="0" wp14:anchorId="16372997" wp14:editId="685461D9">
            <wp:extent cx="2819400" cy="197297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MPP Logo NoPost.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38845" cy="1986585"/>
                    </a:xfrm>
                    <a:prstGeom prst="rect">
                      <a:avLst/>
                    </a:prstGeom>
                  </pic:spPr>
                </pic:pic>
              </a:graphicData>
            </a:graphic>
          </wp:inline>
        </w:drawing>
      </w:r>
    </w:p>
    <w:p w14:paraId="4D3C3C58" w14:textId="4BB8FB3F" w:rsidR="00A40B7F" w:rsidRPr="00030969" w:rsidRDefault="00A40B7F" w:rsidP="0079438F">
      <w:pPr>
        <w:spacing w:before="360" w:after="80"/>
        <w:jc w:val="center"/>
        <w:rPr>
          <w:rFonts w:ascii="Century Gothic" w:hAnsi="Century Gothic"/>
          <w:sz w:val="26"/>
          <w:szCs w:val="26"/>
        </w:rPr>
      </w:pPr>
      <w:r w:rsidRPr="00030969">
        <w:rPr>
          <w:rFonts w:ascii="Century Gothic" w:hAnsi="Century Gothic"/>
          <w:sz w:val="26"/>
          <w:szCs w:val="26"/>
        </w:rPr>
        <w:t xml:space="preserve">Document Prepared </w:t>
      </w:r>
      <w:r w:rsidR="00B234FA" w:rsidRPr="00030969">
        <w:rPr>
          <w:rFonts w:ascii="Century Gothic" w:hAnsi="Century Gothic"/>
          <w:sz w:val="26"/>
          <w:szCs w:val="26"/>
        </w:rPr>
        <w:t>by</w:t>
      </w:r>
      <w:r w:rsidRPr="00030969">
        <w:rPr>
          <w:rFonts w:ascii="Century Gothic" w:hAnsi="Century Gothic"/>
          <w:sz w:val="26"/>
          <w:szCs w:val="26"/>
        </w:rPr>
        <w:t xml:space="preserve"> </w:t>
      </w:r>
      <w:r w:rsidR="00420F02">
        <w:rPr>
          <w:rFonts w:ascii="Century Gothic" w:hAnsi="Century Gothic"/>
          <w:sz w:val="26"/>
          <w:szCs w:val="26"/>
        </w:rPr>
        <w:t>Forest Carbon</w:t>
      </w:r>
    </w:p>
    <w:p w14:paraId="7CD01782" w14:textId="77777777" w:rsidR="000B1797" w:rsidRPr="00030969" w:rsidRDefault="000B1797" w:rsidP="00030969"/>
    <w:tbl>
      <w:tblPr>
        <w:tblStyle w:val="GridTable5Dark-Accent2"/>
        <w:tblW w:w="9775" w:type="dxa"/>
        <w:tblLook w:val="0680" w:firstRow="0" w:lastRow="0" w:firstColumn="1" w:lastColumn="0" w:noHBand="1" w:noVBand="1"/>
      </w:tblPr>
      <w:tblGrid>
        <w:gridCol w:w="2396"/>
        <w:gridCol w:w="7379"/>
      </w:tblGrid>
      <w:tr w:rsidR="00A40B7F" w:rsidRPr="001B340D" w14:paraId="5149342B" w14:textId="77777777" w:rsidTr="0079438F">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2FCF3BF2" w14:textId="77777777" w:rsidR="00A40B7F" w:rsidRPr="0079438F" w:rsidRDefault="00A40B7F" w:rsidP="0079438F">
            <w:pPr>
              <w:pStyle w:val="Header"/>
              <w:spacing w:before="120" w:after="120"/>
              <w:jc w:val="right"/>
              <w:rPr>
                <w:rFonts w:cs="Arial"/>
                <w:b w:val="0"/>
                <w:color w:val="F0FFF7"/>
                <w:spacing w:val="4"/>
                <w:szCs w:val="21"/>
                <w:lang w:val="en-CA"/>
              </w:rPr>
            </w:pPr>
            <w:r w:rsidRPr="0079438F">
              <w:rPr>
                <w:rFonts w:cs="Arial"/>
                <w:color w:val="F0FFF7"/>
                <w:spacing w:val="4"/>
                <w:szCs w:val="21"/>
                <w:lang w:val="en-CA"/>
              </w:rPr>
              <w:t xml:space="preserve">Project Title </w:t>
            </w:r>
          </w:p>
        </w:tc>
        <w:tc>
          <w:tcPr>
            <w:tcW w:w="7379" w:type="dxa"/>
            <w:shd w:val="clear" w:color="auto" w:fill="F2F2F2"/>
          </w:tcPr>
          <w:p w14:paraId="3C3B7D78" w14:textId="6ECEEE7F" w:rsidR="00A40B7F" w:rsidRPr="000143C0" w:rsidRDefault="00A67634" w:rsidP="00C46B18">
            <w:pPr>
              <w:pStyle w:val="TableText"/>
              <w:spacing w:after="160"/>
              <w:cnfStyle w:val="000000000000" w:firstRow="0" w:lastRow="0" w:firstColumn="0" w:lastColumn="0" w:oddVBand="0" w:evenVBand="0" w:oddHBand="0" w:evenHBand="0" w:firstRowFirstColumn="0" w:firstRowLastColumn="0" w:lastRowFirstColumn="0" w:lastRowLastColumn="0"/>
              <w:rPr>
                <w:i/>
              </w:rPr>
            </w:pPr>
            <w:r>
              <w:rPr>
                <w:i/>
              </w:rPr>
              <w:t>Sumatra Merang Peatland Project</w:t>
            </w:r>
            <w:r w:rsidR="00A40B7F" w:rsidRPr="000143C0">
              <w:rPr>
                <w:i/>
              </w:rPr>
              <w:t xml:space="preserve"> </w:t>
            </w:r>
          </w:p>
        </w:tc>
      </w:tr>
      <w:tr w:rsidR="00A40B7F" w:rsidRPr="001B340D" w14:paraId="0B083FFE" w14:textId="77777777" w:rsidTr="0079438F">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00632BB8" w14:textId="77777777" w:rsidR="00A40B7F" w:rsidRPr="0079438F" w:rsidRDefault="00A40B7F" w:rsidP="0079438F">
            <w:pPr>
              <w:pStyle w:val="Header"/>
              <w:spacing w:before="120" w:after="120"/>
              <w:jc w:val="right"/>
              <w:rPr>
                <w:rFonts w:cs="Arial"/>
                <w:b w:val="0"/>
                <w:color w:val="F0FFF7"/>
                <w:spacing w:val="4"/>
                <w:szCs w:val="21"/>
                <w:lang w:val="en-CA"/>
              </w:rPr>
            </w:pPr>
            <w:r w:rsidRPr="0079438F">
              <w:rPr>
                <w:rFonts w:cs="Arial"/>
                <w:color w:val="F0FFF7"/>
                <w:spacing w:val="4"/>
                <w:szCs w:val="21"/>
                <w:lang w:val="en-CA"/>
              </w:rPr>
              <w:t>Version</w:t>
            </w:r>
          </w:p>
        </w:tc>
        <w:tc>
          <w:tcPr>
            <w:tcW w:w="7379" w:type="dxa"/>
            <w:shd w:val="clear" w:color="auto" w:fill="F2F2F2"/>
          </w:tcPr>
          <w:p w14:paraId="7790DA01" w14:textId="075FD8A3" w:rsidR="00A40B7F" w:rsidRPr="000143C0" w:rsidRDefault="00A67634" w:rsidP="00C46B18">
            <w:pPr>
              <w:pStyle w:val="TableText"/>
              <w:spacing w:after="160"/>
              <w:cnfStyle w:val="000000000000" w:firstRow="0" w:lastRow="0" w:firstColumn="0" w:lastColumn="0" w:oddVBand="0" w:evenVBand="0" w:oddHBand="0" w:evenHBand="0" w:firstRowFirstColumn="0" w:firstRowLastColumn="0" w:lastRowFirstColumn="0" w:lastRowLastColumn="0"/>
              <w:rPr>
                <w:i/>
              </w:rPr>
            </w:pPr>
            <w:r>
              <w:rPr>
                <w:i/>
              </w:rPr>
              <w:t>1.0</w:t>
            </w:r>
          </w:p>
        </w:tc>
      </w:tr>
      <w:tr w:rsidR="00A40B7F" w:rsidRPr="001B340D" w14:paraId="475A50D3" w14:textId="77777777" w:rsidTr="0079438F">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568BBD3A" w14:textId="77777777" w:rsidR="00A40B7F" w:rsidRPr="0079438F" w:rsidRDefault="00A40B7F" w:rsidP="0079438F">
            <w:pPr>
              <w:pStyle w:val="Header"/>
              <w:spacing w:before="120" w:after="120"/>
              <w:jc w:val="right"/>
              <w:rPr>
                <w:rFonts w:cs="Arial"/>
                <w:b w:val="0"/>
                <w:color w:val="F0FFF7"/>
                <w:spacing w:val="4"/>
                <w:szCs w:val="21"/>
                <w:lang w:val="en-CA"/>
              </w:rPr>
            </w:pPr>
            <w:r w:rsidRPr="0079438F">
              <w:rPr>
                <w:rFonts w:cs="Arial"/>
                <w:color w:val="F0FFF7"/>
                <w:spacing w:val="4"/>
                <w:szCs w:val="21"/>
                <w:lang w:val="en-CA"/>
              </w:rPr>
              <w:t>Date of Issue</w:t>
            </w:r>
          </w:p>
        </w:tc>
        <w:tc>
          <w:tcPr>
            <w:tcW w:w="7379" w:type="dxa"/>
            <w:shd w:val="clear" w:color="auto" w:fill="F2F2F2"/>
          </w:tcPr>
          <w:p w14:paraId="49E73EA0" w14:textId="7878E637" w:rsidR="00A40B7F" w:rsidRPr="000143C0" w:rsidRDefault="00A67634" w:rsidP="00C46B18">
            <w:pPr>
              <w:pStyle w:val="TableText"/>
              <w:spacing w:after="160"/>
              <w:cnfStyle w:val="000000000000" w:firstRow="0" w:lastRow="0" w:firstColumn="0" w:lastColumn="0" w:oddVBand="0" w:evenVBand="0" w:oddHBand="0" w:evenHBand="0" w:firstRowFirstColumn="0" w:firstRowLastColumn="0" w:lastRowFirstColumn="0" w:lastRowLastColumn="0"/>
              <w:rPr>
                <w:i/>
              </w:rPr>
            </w:pPr>
            <w:r>
              <w:rPr>
                <w:i/>
              </w:rPr>
              <w:t>25-March-2020</w:t>
            </w:r>
          </w:p>
        </w:tc>
      </w:tr>
      <w:tr w:rsidR="002A7473" w:rsidRPr="001B340D" w14:paraId="355E5E9C" w14:textId="77777777" w:rsidTr="0079438F">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50F91AB1" w14:textId="73C1306E" w:rsidR="002A7473" w:rsidRDefault="002A7473" w:rsidP="002A7473">
            <w:pPr>
              <w:pStyle w:val="Header"/>
              <w:spacing w:before="120" w:after="120"/>
              <w:jc w:val="right"/>
              <w:rPr>
                <w:rFonts w:cs="Arial"/>
                <w:color w:val="F0FFF7"/>
                <w:spacing w:val="4"/>
                <w:szCs w:val="21"/>
                <w:lang w:val="en-CA"/>
              </w:rPr>
            </w:pPr>
            <w:r>
              <w:rPr>
                <w:rFonts w:cs="Arial"/>
                <w:color w:val="F0FFF7"/>
                <w:spacing w:val="4"/>
                <w:szCs w:val="21"/>
                <w:lang w:val="en-CA"/>
              </w:rPr>
              <w:t>Project ID</w:t>
            </w:r>
          </w:p>
        </w:tc>
        <w:tc>
          <w:tcPr>
            <w:tcW w:w="7379" w:type="dxa"/>
            <w:shd w:val="clear" w:color="auto" w:fill="F2F2F2"/>
          </w:tcPr>
          <w:p w14:paraId="7F81E5EB" w14:textId="2DE09BED" w:rsidR="002A7473" w:rsidRDefault="008F54FB" w:rsidP="002A7473">
            <w:pPr>
              <w:pStyle w:val="TableText"/>
              <w:cnfStyle w:val="000000000000" w:firstRow="0" w:lastRow="0" w:firstColumn="0" w:lastColumn="0" w:oddVBand="0" w:evenVBand="0" w:oddHBand="0" w:evenHBand="0" w:firstRowFirstColumn="0" w:firstRowLastColumn="0" w:lastRowFirstColumn="0" w:lastRowLastColumn="0"/>
              <w:rPr>
                <w:i/>
              </w:rPr>
            </w:pPr>
            <w:r>
              <w:rPr>
                <w:i/>
              </w:rPr>
              <w:t>1899</w:t>
            </w:r>
          </w:p>
        </w:tc>
      </w:tr>
      <w:tr w:rsidR="002A7473" w:rsidRPr="001B340D" w14:paraId="2D585128" w14:textId="77777777" w:rsidTr="0079438F">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7AC2EFBB" w14:textId="40559247" w:rsidR="002A7473" w:rsidRDefault="002A7473" w:rsidP="002A7473">
            <w:pPr>
              <w:pStyle w:val="Header"/>
              <w:spacing w:before="120" w:after="120"/>
              <w:jc w:val="right"/>
              <w:rPr>
                <w:rFonts w:cs="Arial"/>
                <w:color w:val="F0FFF7"/>
                <w:spacing w:val="4"/>
                <w:szCs w:val="21"/>
                <w:lang w:val="en-CA"/>
              </w:rPr>
            </w:pPr>
            <w:r>
              <w:rPr>
                <w:rFonts w:cs="Arial"/>
                <w:color w:val="F0FFF7"/>
                <w:spacing w:val="4"/>
                <w:szCs w:val="21"/>
                <w:lang w:val="en-CA"/>
              </w:rPr>
              <w:t>Monitoring Period</w:t>
            </w:r>
          </w:p>
        </w:tc>
        <w:tc>
          <w:tcPr>
            <w:tcW w:w="7379" w:type="dxa"/>
            <w:shd w:val="clear" w:color="auto" w:fill="F2F2F2"/>
          </w:tcPr>
          <w:p w14:paraId="2373D252" w14:textId="6C519604" w:rsidR="002A7473" w:rsidRDefault="008F54FB" w:rsidP="002A7473">
            <w:pPr>
              <w:pStyle w:val="TableText"/>
              <w:cnfStyle w:val="000000000000" w:firstRow="0" w:lastRow="0" w:firstColumn="0" w:lastColumn="0" w:oddVBand="0" w:evenVBand="0" w:oddHBand="0" w:evenHBand="0" w:firstRowFirstColumn="0" w:firstRowLastColumn="0" w:lastRowFirstColumn="0" w:lastRowLastColumn="0"/>
              <w:rPr>
                <w:i/>
              </w:rPr>
            </w:pPr>
            <w:r>
              <w:rPr>
                <w:i/>
              </w:rPr>
              <w:t xml:space="preserve">01-January-2019 </w:t>
            </w:r>
            <w:r w:rsidR="002A7473">
              <w:rPr>
                <w:i/>
              </w:rPr>
              <w:t xml:space="preserve">to </w:t>
            </w:r>
            <w:r>
              <w:rPr>
                <w:i/>
              </w:rPr>
              <w:t>31-December-2019</w:t>
            </w:r>
          </w:p>
        </w:tc>
      </w:tr>
      <w:tr w:rsidR="002A7473" w:rsidRPr="001B340D" w14:paraId="26AEE06E" w14:textId="77777777" w:rsidTr="0079438F">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2932E066" w14:textId="3C92D7BB" w:rsidR="002A7473" w:rsidRPr="0079438F" w:rsidRDefault="002A7473" w:rsidP="002A7473">
            <w:pPr>
              <w:pStyle w:val="Header"/>
              <w:spacing w:before="120" w:after="120"/>
              <w:jc w:val="right"/>
              <w:rPr>
                <w:rFonts w:cs="Arial"/>
                <w:color w:val="F0FFF7"/>
                <w:spacing w:val="4"/>
                <w:szCs w:val="21"/>
                <w:lang w:val="en-CA"/>
              </w:rPr>
            </w:pPr>
            <w:r>
              <w:rPr>
                <w:rFonts w:cs="Arial"/>
                <w:color w:val="F0FFF7"/>
                <w:spacing w:val="4"/>
                <w:szCs w:val="21"/>
                <w:lang w:val="en-CA"/>
              </w:rPr>
              <w:t>Prepared By</w:t>
            </w:r>
          </w:p>
        </w:tc>
        <w:tc>
          <w:tcPr>
            <w:tcW w:w="7379" w:type="dxa"/>
            <w:shd w:val="clear" w:color="auto" w:fill="F2F2F2"/>
          </w:tcPr>
          <w:p w14:paraId="1FD76E4A" w14:textId="09A608C3" w:rsidR="002A7473" w:rsidRPr="000143C0" w:rsidRDefault="008F54FB" w:rsidP="002A7473">
            <w:pPr>
              <w:pStyle w:val="TableText"/>
              <w:cnfStyle w:val="000000000000" w:firstRow="0" w:lastRow="0" w:firstColumn="0" w:lastColumn="0" w:oddVBand="0" w:evenVBand="0" w:oddHBand="0" w:evenHBand="0" w:firstRowFirstColumn="0" w:firstRowLastColumn="0" w:lastRowFirstColumn="0" w:lastRowLastColumn="0"/>
              <w:rPr>
                <w:i/>
              </w:rPr>
            </w:pPr>
            <w:r>
              <w:rPr>
                <w:i/>
              </w:rPr>
              <w:t>Forest Carbon</w:t>
            </w:r>
            <w:r w:rsidR="000B1797">
              <w:rPr>
                <w:i/>
              </w:rPr>
              <w:t xml:space="preserve"> </w:t>
            </w:r>
            <w:r w:rsidR="000B1797" w:rsidRPr="000B1797">
              <w:rPr>
                <w:b/>
                <w:i/>
              </w:rPr>
              <w:t>(</w:t>
            </w:r>
            <w:r w:rsidR="000B1797" w:rsidRPr="000B1797">
              <w:rPr>
                <w:i/>
              </w:rPr>
              <w:t>registered as</w:t>
            </w:r>
            <w:r w:rsidR="000B1797" w:rsidRPr="000B1797">
              <w:rPr>
                <w:b/>
                <w:i/>
              </w:rPr>
              <w:t xml:space="preserve"> </w:t>
            </w:r>
            <w:r w:rsidR="000B1797" w:rsidRPr="000B1797">
              <w:rPr>
                <w:i/>
              </w:rPr>
              <w:t>Equator Group Pte Ltd</w:t>
            </w:r>
            <w:r w:rsidR="000B1797" w:rsidRPr="000B1797">
              <w:rPr>
                <w:b/>
                <w:i/>
              </w:rPr>
              <w:t>)</w:t>
            </w:r>
          </w:p>
        </w:tc>
      </w:tr>
      <w:tr w:rsidR="002A7473" w:rsidRPr="001B340D" w14:paraId="3112E34C" w14:textId="77777777" w:rsidTr="0079438F">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3B614662" w14:textId="50A3EC3A" w:rsidR="002A7473" w:rsidRPr="00576A41" w:rsidRDefault="002A7473" w:rsidP="002A7473">
            <w:pPr>
              <w:pStyle w:val="Header"/>
              <w:spacing w:before="120" w:after="120"/>
              <w:jc w:val="right"/>
              <w:rPr>
                <w:rFonts w:cs="Arial"/>
                <w:color w:val="F0FFF7"/>
                <w:spacing w:val="4"/>
                <w:szCs w:val="21"/>
              </w:rPr>
            </w:pPr>
            <w:r>
              <w:rPr>
                <w:rFonts w:cs="Arial"/>
                <w:color w:val="F0FFF7"/>
                <w:spacing w:val="4"/>
                <w:szCs w:val="21"/>
              </w:rPr>
              <w:t>Contact</w:t>
            </w:r>
          </w:p>
        </w:tc>
        <w:tc>
          <w:tcPr>
            <w:tcW w:w="7379" w:type="dxa"/>
            <w:shd w:val="clear" w:color="auto" w:fill="F2F2F2"/>
          </w:tcPr>
          <w:p w14:paraId="64DD7B6D" w14:textId="77777777" w:rsidR="002A7473" w:rsidRDefault="000B1797" w:rsidP="002A7473">
            <w:pPr>
              <w:pStyle w:val="TableText"/>
              <w:cnfStyle w:val="000000000000" w:firstRow="0" w:lastRow="0" w:firstColumn="0" w:lastColumn="0" w:oddVBand="0" w:evenVBand="0" w:oddHBand="0" w:evenHBand="0" w:firstRowFirstColumn="0" w:firstRowLastColumn="0" w:lastRowFirstColumn="0" w:lastRowLastColumn="0"/>
              <w:rPr>
                <w:i/>
              </w:rPr>
            </w:pPr>
            <w:r w:rsidRPr="000B1797">
              <w:rPr>
                <w:i/>
              </w:rPr>
              <w:t>1 Raffles Place, #44-01A One Raffles Place, Singapore, 048616</w:t>
            </w:r>
          </w:p>
          <w:p w14:paraId="5CCAF6E0" w14:textId="77777777" w:rsidR="000B1797" w:rsidRDefault="000B1797" w:rsidP="002A7473">
            <w:pPr>
              <w:pStyle w:val="TableText"/>
              <w:cnfStyle w:val="000000000000" w:firstRow="0" w:lastRow="0" w:firstColumn="0" w:lastColumn="0" w:oddVBand="0" w:evenVBand="0" w:oddHBand="0" w:evenHBand="0" w:firstRowFirstColumn="0" w:firstRowLastColumn="0" w:lastRowFirstColumn="0" w:lastRowLastColumn="0"/>
              <w:rPr>
                <w:i/>
              </w:rPr>
            </w:pPr>
            <w:r w:rsidRPr="000B1797">
              <w:rPr>
                <w:i/>
              </w:rPr>
              <w:t>+62 21 5740817</w:t>
            </w:r>
          </w:p>
          <w:p w14:paraId="1DD5E084" w14:textId="1F6E415F" w:rsidR="000B1797" w:rsidRDefault="000B1797" w:rsidP="002A7473">
            <w:pPr>
              <w:pStyle w:val="TableText"/>
              <w:cnfStyle w:val="000000000000" w:firstRow="0" w:lastRow="0" w:firstColumn="0" w:lastColumn="0" w:oddVBand="0" w:evenVBand="0" w:oddHBand="0" w:evenHBand="0" w:firstRowFirstColumn="0" w:firstRowLastColumn="0" w:lastRowFirstColumn="0" w:lastRowLastColumn="0"/>
              <w:rPr>
                <w:i/>
              </w:rPr>
            </w:pPr>
            <w:r w:rsidRPr="000B1797">
              <w:rPr>
                <w:i/>
              </w:rPr>
              <w:t>j.chatellier@forestcarbon.com</w:t>
            </w:r>
          </w:p>
        </w:tc>
      </w:tr>
    </w:tbl>
    <w:p w14:paraId="2344B87D" w14:textId="77777777" w:rsidR="005F3498" w:rsidRDefault="00A40B7F" w:rsidP="00576A41">
      <w:pPr>
        <w:pStyle w:val="TOC"/>
        <w:widowControl w:val="0"/>
        <w:rPr>
          <w:noProof/>
        </w:rPr>
      </w:pPr>
      <w:r>
        <w:br w:type="page"/>
      </w:r>
      <w:bookmarkStart w:id="4" w:name="introduction"/>
      <w:bookmarkStart w:id="5" w:name="_Toc534640872"/>
      <w:bookmarkStart w:id="6" w:name="project-design"/>
      <w:bookmarkStart w:id="7" w:name="_Toc535492837"/>
      <w:bookmarkStart w:id="8" w:name="_Toc535493049"/>
      <w:bookmarkStart w:id="9" w:name="_Toc510796371"/>
      <w:bookmarkEnd w:id="2"/>
      <w:bookmarkEnd w:id="3"/>
      <w:bookmarkEnd w:id="4"/>
      <w:bookmarkEnd w:id="5"/>
      <w:bookmarkEnd w:id="6"/>
      <w:r w:rsidR="0047625C" w:rsidRPr="0047625C">
        <w:lastRenderedPageBreak/>
        <w:t>Contents</w:t>
      </w:r>
      <w:bookmarkEnd w:id="7"/>
      <w:bookmarkEnd w:id="8"/>
      <w:r w:rsidR="00352945">
        <w:rPr>
          <w:rStyle w:val="Hyperlink"/>
          <w:b/>
          <w:noProof/>
          <w:sz w:val="24"/>
        </w:rPr>
        <w:fldChar w:fldCharType="begin"/>
      </w:r>
      <w:r w:rsidR="00352945">
        <w:rPr>
          <w:rStyle w:val="Hyperlink"/>
          <w:b/>
          <w:noProof/>
          <w:sz w:val="24"/>
        </w:rPr>
        <w:instrText xml:space="preserve"> TOC \o "2-2" \h \z \t "Heading 1,1" </w:instrText>
      </w:r>
      <w:r w:rsidR="00352945">
        <w:rPr>
          <w:rStyle w:val="Hyperlink"/>
          <w:b/>
          <w:noProof/>
          <w:sz w:val="24"/>
        </w:rPr>
        <w:fldChar w:fldCharType="separate"/>
      </w:r>
    </w:p>
    <w:p w14:paraId="5549FDAB" w14:textId="7D1354E1" w:rsidR="005F3498" w:rsidRDefault="00401447">
      <w:pPr>
        <w:pStyle w:val="TOC1"/>
        <w:rPr>
          <w:rFonts w:asciiTheme="minorHAnsi" w:eastAsiaTheme="minorEastAsia" w:hAnsiTheme="minorHAnsi"/>
          <w:b w:val="0"/>
          <w:caps w:val="0"/>
          <w:noProof/>
          <w:color w:val="auto"/>
          <w:kern w:val="0"/>
          <w:sz w:val="22"/>
        </w:rPr>
      </w:pPr>
      <w:hyperlink w:anchor="_Toc19445291" w:history="1">
        <w:r w:rsidR="005F3498" w:rsidRPr="00580ADC">
          <w:rPr>
            <w:rStyle w:val="Hyperlink"/>
            <w:noProof/>
          </w:rPr>
          <w:t>1</w:t>
        </w:r>
        <w:r w:rsidR="005F3498">
          <w:rPr>
            <w:rFonts w:asciiTheme="minorHAnsi" w:eastAsiaTheme="minorEastAsia" w:hAnsiTheme="minorHAnsi"/>
            <w:b w:val="0"/>
            <w:caps w:val="0"/>
            <w:noProof/>
            <w:color w:val="auto"/>
            <w:kern w:val="0"/>
            <w:sz w:val="22"/>
          </w:rPr>
          <w:tab/>
        </w:r>
        <w:r w:rsidR="005F3498" w:rsidRPr="00580ADC">
          <w:rPr>
            <w:rStyle w:val="Hyperlink"/>
            <w:noProof/>
          </w:rPr>
          <w:t>Internal Risk</w:t>
        </w:r>
        <w:r w:rsidR="005F3498">
          <w:rPr>
            <w:noProof/>
            <w:webHidden/>
          </w:rPr>
          <w:tab/>
        </w:r>
        <w:r w:rsidR="005F3498">
          <w:rPr>
            <w:noProof/>
            <w:webHidden/>
          </w:rPr>
          <w:fldChar w:fldCharType="begin"/>
        </w:r>
        <w:r w:rsidR="005F3498">
          <w:rPr>
            <w:noProof/>
            <w:webHidden/>
          </w:rPr>
          <w:instrText xml:space="preserve"> PAGEREF _Toc19445291 \h </w:instrText>
        </w:r>
        <w:r w:rsidR="005F3498">
          <w:rPr>
            <w:noProof/>
            <w:webHidden/>
          </w:rPr>
        </w:r>
        <w:r w:rsidR="005F3498">
          <w:rPr>
            <w:noProof/>
            <w:webHidden/>
          </w:rPr>
          <w:fldChar w:fldCharType="separate"/>
        </w:r>
        <w:r w:rsidR="005F3498">
          <w:rPr>
            <w:noProof/>
            <w:webHidden/>
          </w:rPr>
          <w:t>4</w:t>
        </w:r>
        <w:r w:rsidR="005F3498">
          <w:rPr>
            <w:noProof/>
            <w:webHidden/>
          </w:rPr>
          <w:fldChar w:fldCharType="end"/>
        </w:r>
      </w:hyperlink>
    </w:p>
    <w:p w14:paraId="12957AA4" w14:textId="4C964B05" w:rsidR="005F3498" w:rsidRDefault="00401447">
      <w:pPr>
        <w:pStyle w:val="TOC1"/>
        <w:rPr>
          <w:rFonts w:asciiTheme="minorHAnsi" w:eastAsiaTheme="minorEastAsia" w:hAnsiTheme="minorHAnsi"/>
          <w:b w:val="0"/>
          <w:caps w:val="0"/>
          <w:noProof/>
          <w:color w:val="auto"/>
          <w:kern w:val="0"/>
          <w:sz w:val="22"/>
        </w:rPr>
      </w:pPr>
      <w:hyperlink w:anchor="_Toc19445292" w:history="1">
        <w:r w:rsidR="005F3498" w:rsidRPr="00580ADC">
          <w:rPr>
            <w:rStyle w:val="Hyperlink"/>
            <w:noProof/>
          </w:rPr>
          <w:t>2</w:t>
        </w:r>
        <w:r w:rsidR="005F3498">
          <w:rPr>
            <w:rFonts w:asciiTheme="minorHAnsi" w:eastAsiaTheme="minorEastAsia" w:hAnsiTheme="minorHAnsi"/>
            <w:b w:val="0"/>
            <w:caps w:val="0"/>
            <w:noProof/>
            <w:color w:val="auto"/>
            <w:kern w:val="0"/>
            <w:sz w:val="22"/>
          </w:rPr>
          <w:tab/>
        </w:r>
        <w:r w:rsidR="005F3498" w:rsidRPr="00580ADC">
          <w:rPr>
            <w:rStyle w:val="Hyperlink"/>
            <w:noProof/>
          </w:rPr>
          <w:t>External Risks</w:t>
        </w:r>
        <w:r w:rsidR="005F3498">
          <w:rPr>
            <w:noProof/>
            <w:webHidden/>
          </w:rPr>
          <w:tab/>
        </w:r>
        <w:r w:rsidR="005F3498">
          <w:rPr>
            <w:noProof/>
            <w:webHidden/>
          </w:rPr>
          <w:fldChar w:fldCharType="begin"/>
        </w:r>
        <w:r w:rsidR="005F3498">
          <w:rPr>
            <w:noProof/>
            <w:webHidden/>
          </w:rPr>
          <w:instrText xml:space="preserve"> PAGEREF _Toc19445292 \h </w:instrText>
        </w:r>
        <w:r w:rsidR="005F3498">
          <w:rPr>
            <w:noProof/>
            <w:webHidden/>
          </w:rPr>
        </w:r>
        <w:r w:rsidR="005F3498">
          <w:rPr>
            <w:noProof/>
            <w:webHidden/>
          </w:rPr>
          <w:fldChar w:fldCharType="separate"/>
        </w:r>
        <w:r w:rsidR="005F3498">
          <w:rPr>
            <w:noProof/>
            <w:webHidden/>
          </w:rPr>
          <w:t>6</w:t>
        </w:r>
        <w:r w:rsidR="005F3498">
          <w:rPr>
            <w:noProof/>
            <w:webHidden/>
          </w:rPr>
          <w:fldChar w:fldCharType="end"/>
        </w:r>
      </w:hyperlink>
    </w:p>
    <w:p w14:paraId="0B8EA02D" w14:textId="311A65C8" w:rsidR="005F3498" w:rsidRDefault="00401447">
      <w:pPr>
        <w:pStyle w:val="TOC1"/>
        <w:rPr>
          <w:rFonts w:asciiTheme="minorHAnsi" w:eastAsiaTheme="minorEastAsia" w:hAnsiTheme="minorHAnsi"/>
          <w:b w:val="0"/>
          <w:caps w:val="0"/>
          <w:noProof/>
          <w:color w:val="auto"/>
          <w:kern w:val="0"/>
          <w:sz w:val="22"/>
        </w:rPr>
      </w:pPr>
      <w:hyperlink w:anchor="_Toc19445293" w:history="1">
        <w:r w:rsidR="005F3498" w:rsidRPr="00580ADC">
          <w:rPr>
            <w:rStyle w:val="Hyperlink"/>
            <w:noProof/>
          </w:rPr>
          <w:t>3</w:t>
        </w:r>
        <w:r w:rsidR="005F3498">
          <w:rPr>
            <w:rFonts w:asciiTheme="minorHAnsi" w:eastAsiaTheme="minorEastAsia" w:hAnsiTheme="minorHAnsi"/>
            <w:b w:val="0"/>
            <w:caps w:val="0"/>
            <w:noProof/>
            <w:color w:val="auto"/>
            <w:kern w:val="0"/>
            <w:sz w:val="22"/>
          </w:rPr>
          <w:tab/>
        </w:r>
        <w:r w:rsidR="005F3498" w:rsidRPr="00580ADC">
          <w:rPr>
            <w:rStyle w:val="Hyperlink"/>
            <w:noProof/>
          </w:rPr>
          <w:t>Natural Risks</w:t>
        </w:r>
        <w:r w:rsidR="005F3498">
          <w:rPr>
            <w:noProof/>
            <w:webHidden/>
          </w:rPr>
          <w:tab/>
        </w:r>
        <w:r w:rsidR="005F3498">
          <w:rPr>
            <w:noProof/>
            <w:webHidden/>
          </w:rPr>
          <w:fldChar w:fldCharType="begin"/>
        </w:r>
        <w:r w:rsidR="005F3498">
          <w:rPr>
            <w:noProof/>
            <w:webHidden/>
          </w:rPr>
          <w:instrText xml:space="preserve"> PAGEREF _Toc19445293 \h </w:instrText>
        </w:r>
        <w:r w:rsidR="005F3498">
          <w:rPr>
            <w:noProof/>
            <w:webHidden/>
          </w:rPr>
        </w:r>
        <w:r w:rsidR="005F3498">
          <w:rPr>
            <w:noProof/>
            <w:webHidden/>
          </w:rPr>
          <w:fldChar w:fldCharType="separate"/>
        </w:r>
        <w:r w:rsidR="005F3498">
          <w:rPr>
            <w:noProof/>
            <w:webHidden/>
          </w:rPr>
          <w:t>7</w:t>
        </w:r>
        <w:r w:rsidR="005F3498">
          <w:rPr>
            <w:noProof/>
            <w:webHidden/>
          </w:rPr>
          <w:fldChar w:fldCharType="end"/>
        </w:r>
      </w:hyperlink>
    </w:p>
    <w:p w14:paraId="79A39378" w14:textId="51EDB92B" w:rsidR="005F3498" w:rsidRDefault="00401447">
      <w:pPr>
        <w:pStyle w:val="TOC1"/>
        <w:rPr>
          <w:rFonts w:asciiTheme="minorHAnsi" w:eastAsiaTheme="minorEastAsia" w:hAnsiTheme="minorHAnsi"/>
          <w:b w:val="0"/>
          <w:caps w:val="0"/>
          <w:noProof/>
          <w:color w:val="auto"/>
          <w:kern w:val="0"/>
          <w:sz w:val="22"/>
        </w:rPr>
      </w:pPr>
      <w:hyperlink w:anchor="_Toc19445294" w:history="1">
        <w:r w:rsidR="005F3498" w:rsidRPr="00580ADC">
          <w:rPr>
            <w:rStyle w:val="Hyperlink"/>
            <w:noProof/>
          </w:rPr>
          <w:t>4</w:t>
        </w:r>
        <w:r w:rsidR="005F3498">
          <w:rPr>
            <w:rFonts w:asciiTheme="minorHAnsi" w:eastAsiaTheme="minorEastAsia" w:hAnsiTheme="minorHAnsi"/>
            <w:b w:val="0"/>
            <w:caps w:val="0"/>
            <w:noProof/>
            <w:color w:val="auto"/>
            <w:kern w:val="0"/>
            <w:sz w:val="22"/>
          </w:rPr>
          <w:tab/>
        </w:r>
        <w:r w:rsidR="005F3498" w:rsidRPr="00580ADC">
          <w:rPr>
            <w:rStyle w:val="Hyperlink"/>
            <w:noProof/>
          </w:rPr>
          <w:t>Overall Non-Permanence Risk Rating and Buffer Determination</w:t>
        </w:r>
        <w:r w:rsidR="005F3498">
          <w:rPr>
            <w:noProof/>
            <w:webHidden/>
          </w:rPr>
          <w:tab/>
        </w:r>
        <w:r w:rsidR="005F3498">
          <w:rPr>
            <w:noProof/>
            <w:webHidden/>
          </w:rPr>
          <w:fldChar w:fldCharType="begin"/>
        </w:r>
        <w:r w:rsidR="005F3498">
          <w:rPr>
            <w:noProof/>
            <w:webHidden/>
          </w:rPr>
          <w:instrText xml:space="preserve"> PAGEREF _Toc19445294 \h </w:instrText>
        </w:r>
        <w:r w:rsidR="005F3498">
          <w:rPr>
            <w:noProof/>
            <w:webHidden/>
          </w:rPr>
        </w:r>
        <w:r w:rsidR="005F3498">
          <w:rPr>
            <w:noProof/>
            <w:webHidden/>
          </w:rPr>
          <w:fldChar w:fldCharType="separate"/>
        </w:r>
        <w:r w:rsidR="005F3498">
          <w:rPr>
            <w:noProof/>
            <w:webHidden/>
          </w:rPr>
          <w:t>8</w:t>
        </w:r>
        <w:r w:rsidR="005F3498">
          <w:rPr>
            <w:noProof/>
            <w:webHidden/>
          </w:rPr>
          <w:fldChar w:fldCharType="end"/>
        </w:r>
      </w:hyperlink>
    </w:p>
    <w:p w14:paraId="135D5A7B" w14:textId="6D95B225" w:rsidR="005F3498" w:rsidRDefault="00401447">
      <w:pPr>
        <w:pStyle w:val="TOC2"/>
        <w:rPr>
          <w:rFonts w:asciiTheme="minorHAnsi" w:eastAsiaTheme="minorEastAsia" w:hAnsiTheme="minorHAnsi"/>
          <w:noProof/>
          <w:color w:val="auto"/>
          <w:kern w:val="0"/>
          <w:sz w:val="22"/>
        </w:rPr>
      </w:pPr>
      <w:hyperlink w:anchor="_Toc19445295" w:history="1">
        <w:r w:rsidR="005F3498" w:rsidRPr="00580ADC">
          <w:rPr>
            <w:rStyle w:val="Hyperlink"/>
            <w:rFonts w:ascii="Avenir LT Com 35 Light" w:hAnsi="Avenir LT Com 35 Light" w:cstheme="minorHAnsi"/>
            <w:noProof/>
          </w:rPr>
          <w:t>4.1</w:t>
        </w:r>
        <w:r w:rsidR="005F3498">
          <w:rPr>
            <w:rFonts w:asciiTheme="minorHAnsi" w:eastAsiaTheme="minorEastAsia" w:hAnsiTheme="minorHAnsi"/>
            <w:noProof/>
            <w:color w:val="auto"/>
            <w:kern w:val="0"/>
            <w:sz w:val="22"/>
          </w:rPr>
          <w:tab/>
        </w:r>
        <w:r w:rsidR="005F3498" w:rsidRPr="00580ADC">
          <w:rPr>
            <w:rStyle w:val="Hyperlink"/>
            <w:noProof/>
          </w:rPr>
          <w:t>Overall Risk Rating</w:t>
        </w:r>
        <w:r w:rsidR="005F3498">
          <w:rPr>
            <w:noProof/>
            <w:webHidden/>
          </w:rPr>
          <w:tab/>
        </w:r>
        <w:r w:rsidR="005F3498">
          <w:rPr>
            <w:noProof/>
            <w:webHidden/>
          </w:rPr>
          <w:fldChar w:fldCharType="begin"/>
        </w:r>
        <w:r w:rsidR="005F3498">
          <w:rPr>
            <w:noProof/>
            <w:webHidden/>
          </w:rPr>
          <w:instrText xml:space="preserve"> PAGEREF _Toc19445295 \h </w:instrText>
        </w:r>
        <w:r w:rsidR="005F3498">
          <w:rPr>
            <w:noProof/>
            <w:webHidden/>
          </w:rPr>
        </w:r>
        <w:r w:rsidR="005F3498">
          <w:rPr>
            <w:noProof/>
            <w:webHidden/>
          </w:rPr>
          <w:fldChar w:fldCharType="separate"/>
        </w:r>
        <w:r w:rsidR="005F3498">
          <w:rPr>
            <w:noProof/>
            <w:webHidden/>
          </w:rPr>
          <w:t>8</w:t>
        </w:r>
        <w:r w:rsidR="005F3498">
          <w:rPr>
            <w:noProof/>
            <w:webHidden/>
          </w:rPr>
          <w:fldChar w:fldCharType="end"/>
        </w:r>
      </w:hyperlink>
    </w:p>
    <w:p w14:paraId="7F64EC22" w14:textId="22283240" w:rsidR="005F3498" w:rsidRDefault="00401447">
      <w:pPr>
        <w:pStyle w:val="TOC2"/>
        <w:rPr>
          <w:rFonts w:asciiTheme="minorHAnsi" w:eastAsiaTheme="minorEastAsia" w:hAnsiTheme="minorHAnsi"/>
          <w:noProof/>
          <w:color w:val="auto"/>
          <w:kern w:val="0"/>
          <w:sz w:val="22"/>
        </w:rPr>
      </w:pPr>
      <w:hyperlink w:anchor="_Toc19445296" w:history="1">
        <w:r w:rsidR="005F3498" w:rsidRPr="00580ADC">
          <w:rPr>
            <w:rStyle w:val="Hyperlink"/>
            <w:rFonts w:ascii="Avenir LT Com 35 Light" w:hAnsi="Avenir LT Com 35 Light" w:cstheme="minorHAnsi"/>
            <w:noProof/>
          </w:rPr>
          <w:t>4.2</w:t>
        </w:r>
        <w:r w:rsidR="005F3498">
          <w:rPr>
            <w:rFonts w:asciiTheme="minorHAnsi" w:eastAsiaTheme="minorEastAsia" w:hAnsiTheme="minorHAnsi"/>
            <w:noProof/>
            <w:color w:val="auto"/>
            <w:kern w:val="0"/>
            <w:sz w:val="22"/>
          </w:rPr>
          <w:tab/>
        </w:r>
        <w:r w:rsidR="005F3498" w:rsidRPr="00580ADC">
          <w:rPr>
            <w:rStyle w:val="Hyperlink"/>
            <w:noProof/>
          </w:rPr>
          <w:t>Calculation of Total VCUs</w:t>
        </w:r>
        <w:r w:rsidR="005F3498">
          <w:rPr>
            <w:noProof/>
            <w:webHidden/>
          </w:rPr>
          <w:tab/>
        </w:r>
        <w:r w:rsidR="005F3498">
          <w:rPr>
            <w:noProof/>
            <w:webHidden/>
          </w:rPr>
          <w:fldChar w:fldCharType="begin"/>
        </w:r>
        <w:r w:rsidR="005F3498">
          <w:rPr>
            <w:noProof/>
            <w:webHidden/>
          </w:rPr>
          <w:instrText xml:space="preserve"> PAGEREF _Toc19445296 \h </w:instrText>
        </w:r>
        <w:r w:rsidR="005F3498">
          <w:rPr>
            <w:noProof/>
            <w:webHidden/>
          </w:rPr>
        </w:r>
        <w:r w:rsidR="005F3498">
          <w:rPr>
            <w:noProof/>
            <w:webHidden/>
          </w:rPr>
          <w:fldChar w:fldCharType="separate"/>
        </w:r>
        <w:r w:rsidR="005F3498">
          <w:rPr>
            <w:noProof/>
            <w:webHidden/>
          </w:rPr>
          <w:t>8</w:t>
        </w:r>
        <w:r w:rsidR="005F3498">
          <w:rPr>
            <w:noProof/>
            <w:webHidden/>
          </w:rPr>
          <w:fldChar w:fldCharType="end"/>
        </w:r>
      </w:hyperlink>
    </w:p>
    <w:p w14:paraId="606AF4B0" w14:textId="3D5DD9F2" w:rsidR="005F3498" w:rsidRDefault="00352945" w:rsidP="00576A41">
      <w:pPr>
        <w:pStyle w:val="TOC1"/>
        <w:widowControl w:val="0"/>
        <w:rPr>
          <w:rStyle w:val="Hyperlink"/>
          <w:b w:val="0"/>
          <w:noProof/>
        </w:rPr>
      </w:pPr>
      <w:r>
        <w:rPr>
          <w:rStyle w:val="Hyperlink"/>
          <w:b w:val="0"/>
          <w:noProof/>
        </w:rPr>
        <w:fldChar w:fldCharType="end"/>
      </w:r>
    </w:p>
    <w:p w14:paraId="547EE15E" w14:textId="77777777" w:rsidR="005F3498" w:rsidRDefault="005F3498">
      <w:pPr>
        <w:spacing w:line="259" w:lineRule="auto"/>
        <w:rPr>
          <w:rStyle w:val="Hyperlink"/>
          <w:rFonts w:ascii="Century Gothic" w:hAnsi="Century Gothic"/>
          <w:caps/>
          <w:noProof/>
          <w:spacing w:val="0"/>
          <w:sz w:val="24"/>
        </w:rPr>
      </w:pPr>
      <w:r>
        <w:rPr>
          <w:rStyle w:val="Hyperlink"/>
          <w:b/>
          <w:noProof/>
        </w:rPr>
        <w:br w:type="page"/>
      </w:r>
    </w:p>
    <w:p w14:paraId="28C79EC5" w14:textId="674DC0C4" w:rsidR="00EC5D29" w:rsidRDefault="002A7473" w:rsidP="00030969">
      <w:pPr>
        <w:pStyle w:val="Heading1"/>
      </w:pPr>
      <w:bookmarkStart w:id="10" w:name="_Toc19445291"/>
      <w:bookmarkStart w:id="11" w:name="_Toc534724021"/>
      <w:r>
        <w:lastRenderedPageBreak/>
        <w:t>Internal Risk</w:t>
      </w:r>
      <w:bookmarkEnd w:id="10"/>
    </w:p>
    <w:p w14:paraId="48E82A54" w14:textId="6FDF39E0" w:rsidR="002A7473" w:rsidRPr="00215B6D" w:rsidRDefault="002A7473" w:rsidP="00215B6D">
      <w:pPr>
        <w:pStyle w:val="Instruction"/>
      </w:pPr>
      <w:r w:rsidRPr="00215B6D">
        <w:t>Document and substantiate the risk and/or mitigation for each risk factor applicable to the project. Include any relevant documentary evidence. Where a risk or mitigation is not relevant to the project, please write “Not applicable”.</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4"/>
        <w:gridCol w:w="6981"/>
        <w:gridCol w:w="835"/>
      </w:tblGrid>
      <w:tr w:rsidR="002A7473" w:rsidRPr="00C7687C" w14:paraId="4AC0C610" w14:textId="77777777" w:rsidTr="00215B6D">
        <w:tc>
          <w:tcPr>
            <w:tcW w:w="9432" w:type="dxa"/>
            <w:gridSpan w:val="3"/>
            <w:tcBorders>
              <w:top w:val="nil"/>
              <w:left w:val="nil"/>
              <w:bottom w:val="single" w:sz="4" w:space="0" w:color="FFFFFF" w:themeColor="background1"/>
              <w:right w:val="nil"/>
            </w:tcBorders>
            <w:shd w:val="clear" w:color="auto" w:fill="2B3957" w:themeFill="accent2"/>
          </w:tcPr>
          <w:p w14:paraId="6EB25701" w14:textId="77777777" w:rsidR="002A7473" w:rsidRPr="00C7687C" w:rsidRDefault="002A7473" w:rsidP="002A7473">
            <w:pPr>
              <w:pStyle w:val="TableHeader0"/>
              <w:jc w:val="center"/>
            </w:pPr>
            <w:r w:rsidRPr="00C7687C">
              <w:t>Project Management</w:t>
            </w:r>
          </w:p>
        </w:tc>
      </w:tr>
      <w:tr w:rsidR="002A7473" w:rsidRPr="00C7687C" w14:paraId="5932777E" w14:textId="77777777" w:rsidTr="00215B6D">
        <w:tc>
          <w:tcPr>
            <w:tcW w:w="828" w:type="dxa"/>
            <w:tcBorders>
              <w:top w:val="single" w:sz="4" w:space="0" w:color="FFFFFF" w:themeColor="background1"/>
              <w:left w:val="nil"/>
              <w:bottom w:val="single" w:sz="4" w:space="0" w:color="FFFFFF" w:themeColor="background1"/>
              <w:right w:val="single" w:sz="4" w:space="0" w:color="FFFFFF" w:themeColor="background1"/>
            </w:tcBorders>
            <w:shd w:val="clear" w:color="auto" w:fill="2B3957" w:themeFill="accent2"/>
          </w:tcPr>
          <w:p w14:paraId="607B21A9" w14:textId="77777777" w:rsidR="002A7473" w:rsidRPr="00C7687C" w:rsidRDefault="002A7473" w:rsidP="002A7473">
            <w:pPr>
              <w:pStyle w:val="TableHeader0"/>
            </w:pPr>
            <w:r w:rsidRPr="00C7687C">
              <w:t>Risk Factor</w:t>
            </w:r>
          </w:p>
        </w:tc>
        <w:tc>
          <w:tcPr>
            <w:tcW w:w="77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3957" w:themeFill="accent2"/>
          </w:tcPr>
          <w:p w14:paraId="6EC74608" w14:textId="77777777" w:rsidR="002A7473" w:rsidRPr="00C7687C" w:rsidRDefault="002A7473" w:rsidP="002A7473">
            <w:pPr>
              <w:pStyle w:val="TableHeader0"/>
              <w:jc w:val="center"/>
            </w:pPr>
            <w:r w:rsidRPr="00C7687C">
              <w:t>Risk Factor and/or Mitigation Description</w:t>
            </w:r>
          </w:p>
        </w:tc>
        <w:tc>
          <w:tcPr>
            <w:tcW w:w="839" w:type="dxa"/>
            <w:tcBorders>
              <w:top w:val="single" w:sz="4" w:space="0" w:color="FFFFFF" w:themeColor="background1"/>
              <w:left w:val="single" w:sz="4" w:space="0" w:color="FFFFFF" w:themeColor="background1"/>
              <w:bottom w:val="single" w:sz="4" w:space="0" w:color="FFFFFF" w:themeColor="background1"/>
              <w:right w:val="nil"/>
            </w:tcBorders>
            <w:shd w:val="clear" w:color="auto" w:fill="2B3957" w:themeFill="accent2"/>
          </w:tcPr>
          <w:p w14:paraId="6DD6817D" w14:textId="77777777" w:rsidR="002A7473" w:rsidRPr="00C7687C" w:rsidRDefault="002A7473" w:rsidP="002A7473">
            <w:pPr>
              <w:pStyle w:val="TableHeader0"/>
            </w:pPr>
            <w:r w:rsidRPr="00C7687C">
              <w:t>Risk Rating</w:t>
            </w:r>
          </w:p>
        </w:tc>
      </w:tr>
      <w:tr w:rsidR="002A7473" w:rsidRPr="00C7687C" w14:paraId="79C2975D" w14:textId="77777777" w:rsidTr="00215B6D">
        <w:tc>
          <w:tcPr>
            <w:tcW w:w="828" w:type="dxa"/>
            <w:tcBorders>
              <w:top w:val="single" w:sz="4" w:space="0" w:color="FFFFFF" w:themeColor="background1"/>
              <w:left w:val="nil"/>
              <w:bottom w:val="single" w:sz="4" w:space="0" w:color="FFFFFF" w:themeColor="background1"/>
              <w:right w:val="single" w:sz="4" w:space="0" w:color="FFFFFF" w:themeColor="background1"/>
            </w:tcBorders>
            <w:shd w:val="clear" w:color="auto" w:fill="F2F2F2"/>
          </w:tcPr>
          <w:p w14:paraId="001F09F3" w14:textId="77777777" w:rsidR="002A7473" w:rsidRPr="002A7473" w:rsidRDefault="002A7473" w:rsidP="002A7473">
            <w:pPr>
              <w:pStyle w:val="TableText"/>
              <w:rPr>
                <w:szCs w:val="21"/>
              </w:rPr>
            </w:pPr>
            <w:r w:rsidRPr="002A7473">
              <w:rPr>
                <w:szCs w:val="21"/>
              </w:rPr>
              <w:t>a)</w:t>
            </w:r>
          </w:p>
        </w:tc>
        <w:tc>
          <w:tcPr>
            <w:tcW w:w="77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14:paraId="41CD5557" w14:textId="796AB372" w:rsidR="002A7473" w:rsidRPr="002A7473" w:rsidRDefault="009D3563" w:rsidP="002A7473">
            <w:pPr>
              <w:pStyle w:val="TableText"/>
              <w:rPr>
                <w:szCs w:val="21"/>
              </w:rPr>
            </w:pPr>
            <w:r w:rsidRPr="009D3563">
              <w:rPr>
                <w:szCs w:val="21"/>
              </w:rPr>
              <w:t>Score is zero. The project will only plant native trees that are adapted to peatland ecosystems.</w:t>
            </w:r>
          </w:p>
        </w:tc>
        <w:tc>
          <w:tcPr>
            <w:tcW w:w="839" w:type="dxa"/>
            <w:tcBorders>
              <w:top w:val="single" w:sz="4" w:space="0" w:color="FFFFFF" w:themeColor="background1"/>
              <w:left w:val="single" w:sz="4" w:space="0" w:color="FFFFFF" w:themeColor="background1"/>
              <w:bottom w:val="single" w:sz="4" w:space="0" w:color="FFFFFF" w:themeColor="background1"/>
              <w:right w:val="nil"/>
            </w:tcBorders>
            <w:shd w:val="clear" w:color="auto" w:fill="F2F2F2"/>
          </w:tcPr>
          <w:p w14:paraId="7D4FCEEF" w14:textId="0D7311FB" w:rsidR="002A7473" w:rsidRPr="002A7473" w:rsidRDefault="009D3563" w:rsidP="002A7473">
            <w:pPr>
              <w:pStyle w:val="TableText"/>
              <w:rPr>
                <w:szCs w:val="21"/>
              </w:rPr>
            </w:pPr>
            <w:r>
              <w:rPr>
                <w:szCs w:val="21"/>
              </w:rPr>
              <w:t>0</w:t>
            </w:r>
          </w:p>
        </w:tc>
      </w:tr>
      <w:tr w:rsidR="002A7473" w:rsidRPr="00C7687C" w14:paraId="7161B296" w14:textId="77777777" w:rsidTr="00215B6D">
        <w:tc>
          <w:tcPr>
            <w:tcW w:w="828" w:type="dxa"/>
            <w:tcBorders>
              <w:top w:val="single" w:sz="4" w:space="0" w:color="FFFFFF" w:themeColor="background1"/>
              <w:left w:val="nil"/>
              <w:bottom w:val="single" w:sz="4" w:space="0" w:color="FFFFFF" w:themeColor="background1"/>
              <w:right w:val="single" w:sz="4" w:space="0" w:color="FFFFFF" w:themeColor="background1"/>
            </w:tcBorders>
            <w:shd w:val="clear" w:color="auto" w:fill="F2F2F2"/>
          </w:tcPr>
          <w:p w14:paraId="3935C465" w14:textId="77777777" w:rsidR="002A7473" w:rsidRPr="002A7473" w:rsidRDefault="002A7473" w:rsidP="002A7473">
            <w:pPr>
              <w:pStyle w:val="TableText"/>
              <w:rPr>
                <w:szCs w:val="21"/>
              </w:rPr>
            </w:pPr>
            <w:r w:rsidRPr="002A7473">
              <w:rPr>
                <w:szCs w:val="21"/>
              </w:rPr>
              <w:t>b)</w:t>
            </w:r>
          </w:p>
        </w:tc>
        <w:tc>
          <w:tcPr>
            <w:tcW w:w="77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14:paraId="5EBC2909" w14:textId="27824B38" w:rsidR="002A7473" w:rsidRPr="002A7473" w:rsidRDefault="009D3563" w:rsidP="002A7473">
            <w:pPr>
              <w:pStyle w:val="TableText"/>
              <w:rPr>
                <w:szCs w:val="21"/>
              </w:rPr>
            </w:pPr>
            <w:r w:rsidRPr="009D3563">
              <w:rPr>
                <w:szCs w:val="21"/>
              </w:rPr>
              <w:t>Score is zero. The project works to reduce the threat of possible encroachment by local people. Further, the majority of the project's carbon stocks are in the peat soils. Therefore, encroachment on 50% of the project's carbon stocks would require massive industrial conversion of  over 11,000 hectares of the project area that would  create an extensive network of canals with heavy machinery. Only an industrial commercial entity would be able to achieve this. However commercial entities would have no legal right to do so and would be stopped by government authorities. Since the project has started there has been no encroachment in the project area.</w:t>
            </w:r>
          </w:p>
        </w:tc>
        <w:tc>
          <w:tcPr>
            <w:tcW w:w="839" w:type="dxa"/>
            <w:tcBorders>
              <w:top w:val="single" w:sz="4" w:space="0" w:color="FFFFFF" w:themeColor="background1"/>
              <w:left w:val="single" w:sz="4" w:space="0" w:color="FFFFFF" w:themeColor="background1"/>
              <w:bottom w:val="single" w:sz="4" w:space="0" w:color="FFFFFF" w:themeColor="background1"/>
              <w:right w:val="nil"/>
            </w:tcBorders>
            <w:shd w:val="clear" w:color="auto" w:fill="F2F2F2"/>
          </w:tcPr>
          <w:p w14:paraId="737F3002" w14:textId="12857D83" w:rsidR="002A7473" w:rsidRPr="002A7473" w:rsidRDefault="009D3563" w:rsidP="002A7473">
            <w:pPr>
              <w:pStyle w:val="TableText"/>
              <w:rPr>
                <w:szCs w:val="21"/>
              </w:rPr>
            </w:pPr>
            <w:r>
              <w:rPr>
                <w:szCs w:val="21"/>
              </w:rPr>
              <w:t>0</w:t>
            </w:r>
          </w:p>
        </w:tc>
      </w:tr>
      <w:tr w:rsidR="002A7473" w:rsidRPr="00C7687C" w14:paraId="47C1F02D" w14:textId="77777777" w:rsidTr="00215B6D">
        <w:tc>
          <w:tcPr>
            <w:tcW w:w="828" w:type="dxa"/>
            <w:tcBorders>
              <w:top w:val="single" w:sz="4" w:space="0" w:color="FFFFFF" w:themeColor="background1"/>
              <w:left w:val="nil"/>
              <w:bottom w:val="single" w:sz="4" w:space="0" w:color="FFFFFF" w:themeColor="background1"/>
              <w:right w:val="single" w:sz="4" w:space="0" w:color="FFFFFF" w:themeColor="background1"/>
            </w:tcBorders>
            <w:shd w:val="clear" w:color="auto" w:fill="F2F2F2"/>
          </w:tcPr>
          <w:p w14:paraId="4C0D1A0E" w14:textId="77777777" w:rsidR="002A7473" w:rsidRPr="002A7473" w:rsidRDefault="002A7473" w:rsidP="002A7473">
            <w:pPr>
              <w:pStyle w:val="TableText"/>
              <w:rPr>
                <w:szCs w:val="21"/>
              </w:rPr>
            </w:pPr>
            <w:r w:rsidRPr="002A7473">
              <w:rPr>
                <w:szCs w:val="21"/>
              </w:rPr>
              <w:t>c)</w:t>
            </w:r>
          </w:p>
        </w:tc>
        <w:tc>
          <w:tcPr>
            <w:tcW w:w="77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14:paraId="2DAD64C7" w14:textId="02081DD6" w:rsidR="002A7473" w:rsidRPr="002A7473" w:rsidRDefault="009D3563" w:rsidP="002A7473">
            <w:pPr>
              <w:pStyle w:val="TableText"/>
              <w:rPr>
                <w:szCs w:val="21"/>
              </w:rPr>
            </w:pPr>
            <w:r w:rsidRPr="009D3563">
              <w:rPr>
                <w:szCs w:val="21"/>
              </w:rPr>
              <w:t>Score is zero. The project’s management team includes staff with significant experience in all areas necessary to manage project activities. Resumes of staff are provided to validators upon request.</w:t>
            </w:r>
          </w:p>
        </w:tc>
        <w:tc>
          <w:tcPr>
            <w:tcW w:w="839" w:type="dxa"/>
            <w:tcBorders>
              <w:top w:val="single" w:sz="4" w:space="0" w:color="FFFFFF" w:themeColor="background1"/>
              <w:left w:val="single" w:sz="4" w:space="0" w:color="FFFFFF" w:themeColor="background1"/>
              <w:bottom w:val="single" w:sz="4" w:space="0" w:color="FFFFFF" w:themeColor="background1"/>
              <w:right w:val="nil"/>
            </w:tcBorders>
            <w:shd w:val="clear" w:color="auto" w:fill="F2F2F2"/>
          </w:tcPr>
          <w:p w14:paraId="6FFFEA07" w14:textId="262CCE54" w:rsidR="002A7473" w:rsidRPr="002A7473" w:rsidRDefault="009D3563" w:rsidP="002A7473">
            <w:pPr>
              <w:pStyle w:val="TableText"/>
              <w:rPr>
                <w:szCs w:val="21"/>
              </w:rPr>
            </w:pPr>
            <w:r>
              <w:rPr>
                <w:szCs w:val="21"/>
              </w:rPr>
              <w:t>0</w:t>
            </w:r>
          </w:p>
        </w:tc>
      </w:tr>
      <w:tr w:rsidR="002A7473" w:rsidRPr="00C7687C" w14:paraId="5C0C0319" w14:textId="77777777" w:rsidTr="00215B6D">
        <w:tc>
          <w:tcPr>
            <w:tcW w:w="828" w:type="dxa"/>
            <w:tcBorders>
              <w:top w:val="single" w:sz="4" w:space="0" w:color="FFFFFF" w:themeColor="background1"/>
              <w:left w:val="nil"/>
              <w:bottom w:val="single" w:sz="4" w:space="0" w:color="FFFFFF" w:themeColor="background1"/>
              <w:right w:val="single" w:sz="4" w:space="0" w:color="FFFFFF" w:themeColor="background1"/>
            </w:tcBorders>
            <w:shd w:val="clear" w:color="auto" w:fill="F2F2F2"/>
          </w:tcPr>
          <w:p w14:paraId="7627BBE5" w14:textId="77777777" w:rsidR="002A7473" w:rsidRPr="002A7473" w:rsidRDefault="002A7473" w:rsidP="002A7473">
            <w:pPr>
              <w:pStyle w:val="TableText"/>
              <w:rPr>
                <w:szCs w:val="21"/>
              </w:rPr>
            </w:pPr>
            <w:r w:rsidRPr="002A7473">
              <w:rPr>
                <w:szCs w:val="21"/>
              </w:rPr>
              <w:t>d)</w:t>
            </w:r>
          </w:p>
        </w:tc>
        <w:tc>
          <w:tcPr>
            <w:tcW w:w="77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14:paraId="6D604051" w14:textId="1A2E85A8" w:rsidR="002A7473" w:rsidRPr="002A7473" w:rsidRDefault="00032493" w:rsidP="002A7473">
            <w:pPr>
              <w:pStyle w:val="TableText"/>
              <w:rPr>
                <w:color w:val="00F873"/>
                <w:szCs w:val="21"/>
              </w:rPr>
            </w:pPr>
            <w:r w:rsidRPr="00032493">
              <w:rPr>
                <w:szCs w:val="21"/>
              </w:rPr>
              <w:t xml:space="preserve">Score is zero. The management team is headquartered in Indonesia with all offices within one day travel from the project area. </w:t>
            </w:r>
          </w:p>
        </w:tc>
        <w:tc>
          <w:tcPr>
            <w:tcW w:w="839" w:type="dxa"/>
            <w:tcBorders>
              <w:top w:val="single" w:sz="4" w:space="0" w:color="FFFFFF" w:themeColor="background1"/>
              <w:left w:val="single" w:sz="4" w:space="0" w:color="FFFFFF" w:themeColor="background1"/>
              <w:bottom w:val="single" w:sz="4" w:space="0" w:color="FFFFFF" w:themeColor="background1"/>
              <w:right w:val="nil"/>
            </w:tcBorders>
            <w:shd w:val="clear" w:color="auto" w:fill="F2F2F2"/>
          </w:tcPr>
          <w:p w14:paraId="209054A5" w14:textId="1FF427C9" w:rsidR="002A7473" w:rsidRPr="002A7473" w:rsidRDefault="009D3563" w:rsidP="002A7473">
            <w:pPr>
              <w:pStyle w:val="TableText"/>
              <w:rPr>
                <w:szCs w:val="21"/>
              </w:rPr>
            </w:pPr>
            <w:r>
              <w:rPr>
                <w:szCs w:val="21"/>
              </w:rPr>
              <w:t>0</w:t>
            </w:r>
          </w:p>
        </w:tc>
      </w:tr>
      <w:tr w:rsidR="002A7473" w:rsidRPr="00C7687C" w14:paraId="1B5CFF24" w14:textId="77777777" w:rsidTr="00215B6D">
        <w:tc>
          <w:tcPr>
            <w:tcW w:w="828" w:type="dxa"/>
            <w:tcBorders>
              <w:top w:val="single" w:sz="4" w:space="0" w:color="FFFFFF" w:themeColor="background1"/>
              <w:left w:val="nil"/>
              <w:bottom w:val="single" w:sz="4" w:space="0" w:color="FFFFFF" w:themeColor="background1"/>
              <w:right w:val="single" w:sz="4" w:space="0" w:color="FFFFFF" w:themeColor="background1"/>
            </w:tcBorders>
            <w:shd w:val="clear" w:color="auto" w:fill="F2F2F2"/>
          </w:tcPr>
          <w:p w14:paraId="53DFC905" w14:textId="77777777" w:rsidR="002A7473" w:rsidRPr="002A7473" w:rsidRDefault="002A7473" w:rsidP="002A7473">
            <w:pPr>
              <w:pStyle w:val="TableText"/>
              <w:rPr>
                <w:szCs w:val="21"/>
              </w:rPr>
            </w:pPr>
            <w:r w:rsidRPr="002A7473">
              <w:rPr>
                <w:szCs w:val="21"/>
              </w:rPr>
              <w:t>e)</w:t>
            </w:r>
          </w:p>
        </w:tc>
        <w:tc>
          <w:tcPr>
            <w:tcW w:w="77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14:paraId="4B2FB715" w14:textId="4B12594E" w:rsidR="002A7473" w:rsidRPr="002A7473" w:rsidRDefault="00032493" w:rsidP="002A7473">
            <w:pPr>
              <w:pStyle w:val="TableText"/>
              <w:rPr>
                <w:szCs w:val="21"/>
              </w:rPr>
            </w:pPr>
            <w:r w:rsidRPr="00032493">
              <w:rPr>
                <w:szCs w:val="21"/>
              </w:rPr>
              <w:t>The project employs staff that have successfully developed and managed AFOLU projects, and are fully versed in the carbon accounting, methodologies and requirements of the VCS. Forest Carbon has acted as technical consultants on the Rimba Raya project and Kao Seima project, two projects that have been validated under the VCS.</w:t>
            </w:r>
          </w:p>
        </w:tc>
        <w:tc>
          <w:tcPr>
            <w:tcW w:w="839" w:type="dxa"/>
            <w:tcBorders>
              <w:top w:val="single" w:sz="4" w:space="0" w:color="FFFFFF" w:themeColor="background1"/>
              <w:left w:val="single" w:sz="4" w:space="0" w:color="FFFFFF" w:themeColor="background1"/>
              <w:bottom w:val="single" w:sz="4" w:space="0" w:color="FFFFFF" w:themeColor="background1"/>
              <w:right w:val="nil"/>
            </w:tcBorders>
            <w:shd w:val="clear" w:color="auto" w:fill="F2F2F2"/>
          </w:tcPr>
          <w:p w14:paraId="008F7A8C" w14:textId="493D35EF" w:rsidR="002A7473" w:rsidRPr="002A7473" w:rsidRDefault="009D3563" w:rsidP="002A7473">
            <w:pPr>
              <w:pStyle w:val="TableText"/>
              <w:rPr>
                <w:szCs w:val="21"/>
              </w:rPr>
            </w:pPr>
            <w:r>
              <w:rPr>
                <w:szCs w:val="21"/>
              </w:rPr>
              <w:t>-2</w:t>
            </w:r>
          </w:p>
        </w:tc>
      </w:tr>
      <w:tr w:rsidR="002A7473" w:rsidRPr="00C7687C" w14:paraId="5D50A728" w14:textId="77777777" w:rsidTr="00215B6D">
        <w:tc>
          <w:tcPr>
            <w:tcW w:w="828" w:type="dxa"/>
            <w:tcBorders>
              <w:top w:val="single" w:sz="4" w:space="0" w:color="FFFFFF" w:themeColor="background1"/>
              <w:left w:val="nil"/>
              <w:bottom w:val="single" w:sz="12" w:space="0" w:color="FFFFFF" w:themeColor="background1"/>
              <w:right w:val="single" w:sz="4" w:space="0" w:color="FFFFFF" w:themeColor="background1"/>
            </w:tcBorders>
            <w:shd w:val="clear" w:color="auto" w:fill="F2F2F2"/>
          </w:tcPr>
          <w:p w14:paraId="59B4B6FC" w14:textId="77777777" w:rsidR="002A7473" w:rsidRPr="002A7473" w:rsidRDefault="002A7473" w:rsidP="002A7473">
            <w:pPr>
              <w:pStyle w:val="TableText"/>
              <w:rPr>
                <w:szCs w:val="21"/>
              </w:rPr>
            </w:pPr>
            <w:r w:rsidRPr="002A7473">
              <w:rPr>
                <w:szCs w:val="21"/>
              </w:rPr>
              <w:t>f)</w:t>
            </w:r>
          </w:p>
        </w:tc>
        <w:tc>
          <w:tcPr>
            <w:tcW w:w="7765" w:type="dxa"/>
            <w:tcBorders>
              <w:top w:val="single" w:sz="4" w:space="0" w:color="FFFFFF" w:themeColor="background1"/>
              <w:left w:val="single" w:sz="4" w:space="0" w:color="FFFFFF" w:themeColor="background1"/>
              <w:bottom w:val="single" w:sz="12" w:space="0" w:color="FFFFFF" w:themeColor="background1"/>
              <w:right w:val="single" w:sz="4" w:space="0" w:color="FFFFFF" w:themeColor="background1"/>
            </w:tcBorders>
            <w:shd w:val="clear" w:color="auto" w:fill="F2F2F2"/>
          </w:tcPr>
          <w:p w14:paraId="04DCBBA7" w14:textId="10F2F968" w:rsidR="002A7473" w:rsidRPr="002A7473" w:rsidRDefault="00032493" w:rsidP="002A7473">
            <w:pPr>
              <w:pStyle w:val="TableText"/>
              <w:rPr>
                <w:szCs w:val="21"/>
              </w:rPr>
            </w:pPr>
            <w:r w:rsidRPr="00032493">
              <w:rPr>
                <w:szCs w:val="21"/>
              </w:rPr>
              <w:t>The project has adopted an adaptive management approach to implementing the project.</w:t>
            </w:r>
          </w:p>
        </w:tc>
        <w:tc>
          <w:tcPr>
            <w:tcW w:w="839" w:type="dxa"/>
            <w:tcBorders>
              <w:top w:val="single" w:sz="4" w:space="0" w:color="FFFFFF" w:themeColor="background1"/>
              <w:left w:val="single" w:sz="4" w:space="0" w:color="FFFFFF" w:themeColor="background1"/>
              <w:bottom w:val="single" w:sz="12" w:space="0" w:color="FFFFFF" w:themeColor="background1"/>
              <w:right w:val="nil"/>
            </w:tcBorders>
            <w:shd w:val="clear" w:color="auto" w:fill="F2F2F2"/>
          </w:tcPr>
          <w:p w14:paraId="2317A639" w14:textId="6F9BFD4F" w:rsidR="002A7473" w:rsidRPr="002A7473" w:rsidRDefault="009D3563" w:rsidP="002A7473">
            <w:pPr>
              <w:pStyle w:val="TableText"/>
              <w:rPr>
                <w:szCs w:val="21"/>
              </w:rPr>
            </w:pPr>
            <w:r>
              <w:rPr>
                <w:szCs w:val="21"/>
              </w:rPr>
              <w:t>-2</w:t>
            </w:r>
          </w:p>
        </w:tc>
      </w:tr>
      <w:tr w:rsidR="002A7473" w:rsidRPr="00C7687C" w14:paraId="0F0F66C8" w14:textId="77777777" w:rsidTr="00215B6D">
        <w:tc>
          <w:tcPr>
            <w:tcW w:w="8593" w:type="dxa"/>
            <w:gridSpan w:val="2"/>
            <w:tcBorders>
              <w:top w:val="single" w:sz="4" w:space="0" w:color="FFFFFF" w:themeColor="background1"/>
              <w:left w:val="nil"/>
              <w:bottom w:val="nil"/>
              <w:right w:val="single" w:sz="4" w:space="0" w:color="FFFFFF" w:themeColor="background1"/>
            </w:tcBorders>
            <w:shd w:val="clear" w:color="auto" w:fill="F2F2F2"/>
          </w:tcPr>
          <w:p w14:paraId="7A298A2F" w14:textId="77777777" w:rsidR="002A7473" w:rsidRPr="002A7473" w:rsidRDefault="002A7473" w:rsidP="002A7473">
            <w:pPr>
              <w:pStyle w:val="TableText"/>
              <w:rPr>
                <w:rFonts w:eastAsia="Times New Roman"/>
                <w:b/>
                <w:bCs/>
                <w:szCs w:val="21"/>
              </w:rPr>
            </w:pPr>
            <w:r w:rsidRPr="002A7473">
              <w:rPr>
                <w:rFonts w:eastAsia="Times New Roman"/>
                <w:b/>
                <w:bCs/>
                <w:szCs w:val="21"/>
              </w:rPr>
              <w:t>Total Project Management (PM) [as applicable, (a + b + c + d + e + f)]</w:t>
            </w:r>
          </w:p>
          <w:p w14:paraId="26A7396B" w14:textId="77777777" w:rsidR="002A7473" w:rsidRPr="002A7473" w:rsidRDefault="002A7473" w:rsidP="002A7473">
            <w:pPr>
              <w:pStyle w:val="TableText"/>
              <w:rPr>
                <w:szCs w:val="21"/>
              </w:rPr>
            </w:pPr>
            <w:r w:rsidRPr="002A7473">
              <w:rPr>
                <w:rFonts w:eastAsia="Times New Roman"/>
                <w:bCs/>
                <w:szCs w:val="21"/>
              </w:rPr>
              <w:t>Total may be less than zero.</w:t>
            </w:r>
          </w:p>
        </w:tc>
        <w:tc>
          <w:tcPr>
            <w:tcW w:w="839" w:type="dxa"/>
            <w:tcBorders>
              <w:top w:val="single" w:sz="12" w:space="0" w:color="FFFFFF" w:themeColor="background1"/>
              <w:left w:val="single" w:sz="4" w:space="0" w:color="FFFFFF" w:themeColor="background1"/>
              <w:bottom w:val="nil"/>
              <w:right w:val="nil"/>
            </w:tcBorders>
            <w:shd w:val="clear" w:color="auto" w:fill="F2F2F2"/>
          </w:tcPr>
          <w:p w14:paraId="78527996" w14:textId="2F58E865" w:rsidR="002A7473" w:rsidRPr="002A7473" w:rsidRDefault="009D3563" w:rsidP="002A7473">
            <w:pPr>
              <w:pStyle w:val="TableText"/>
              <w:rPr>
                <w:b/>
                <w:szCs w:val="21"/>
              </w:rPr>
            </w:pPr>
            <w:r>
              <w:rPr>
                <w:b/>
                <w:szCs w:val="21"/>
              </w:rPr>
              <w:t>-4</w:t>
            </w:r>
          </w:p>
        </w:tc>
      </w:tr>
    </w:tbl>
    <w:p w14:paraId="61BC4CB8" w14:textId="77777777" w:rsidR="002A7473" w:rsidRPr="002A7473" w:rsidRDefault="002A7473" w:rsidP="002A7473">
      <w:pPr>
        <w:pStyle w:val="Instruction"/>
        <w:rPr>
          <w:rStyle w:val="SubtleEmphasis"/>
          <w:i/>
          <w:lang w:val="en-US"/>
        </w:rPr>
      </w:pP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4"/>
        <w:gridCol w:w="6981"/>
        <w:gridCol w:w="835"/>
      </w:tblGrid>
      <w:tr w:rsidR="002A7473" w:rsidRPr="00C7687C" w14:paraId="0C12EFC2" w14:textId="77777777" w:rsidTr="00215B6D">
        <w:tc>
          <w:tcPr>
            <w:tcW w:w="9432" w:type="dxa"/>
            <w:gridSpan w:val="3"/>
            <w:tcBorders>
              <w:top w:val="nil"/>
              <w:left w:val="nil"/>
              <w:bottom w:val="single" w:sz="4" w:space="0" w:color="FFFFFF" w:themeColor="background1"/>
              <w:right w:val="nil"/>
            </w:tcBorders>
            <w:shd w:val="clear" w:color="auto" w:fill="2B3957" w:themeFill="accent2"/>
          </w:tcPr>
          <w:p w14:paraId="445BAD44" w14:textId="77777777" w:rsidR="002A7473" w:rsidRPr="002A7473" w:rsidRDefault="002A7473" w:rsidP="002A7473">
            <w:pPr>
              <w:pStyle w:val="TableHeader0"/>
              <w:jc w:val="center"/>
            </w:pPr>
            <w:r w:rsidRPr="002A7473">
              <w:t>Financial Viability</w:t>
            </w:r>
          </w:p>
        </w:tc>
      </w:tr>
      <w:tr w:rsidR="002A7473" w:rsidRPr="00C7687C" w14:paraId="0C962167" w14:textId="77777777" w:rsidTr="00215B6D">
        <w:tc>
          <w:tcPr>
            <w:tcW w:w="828" w:type="dxa"/>
            <w:tcBorders>
              <w:top w:val="single" w:sz="4" w:space="0" w:color="FFFFFF" w:themeColor="background1"/>
              <w:left w:val="nil"/>
              <w:bottom w:val="single" w:sz="4" w:space="0" w:color="FFFFFF" w:themeColor="background1"/>
              <w:right w:val="single" w:sz="4" w:space="0" w:color="FFFFFF" w:themeColor="background1"/>
            </w:tcBorders>
            <w:shd w:val="clear" w:color="auto" w:fill="2B3957" w:themeFill="accent2"/>
          </w:tcPr>
          <w:p w14:paraId="4D84A816" w14:textId="77777777" w:rsidR="002A7473" w:rsidRPr="002A7473" w:rsidRDefault="002A7473" w:rsidP="002A7473">
            <w:pPr>
              <w:pStyle w:val="TableHeader0"/>
            </w:pPr>
            <w:r w:rsidRPr="002A7473">
              <w:lastRenderedPageBreak/>
              <w:t>Risk Factor</w:t>
            </w:r>
          </w:p>
        </w:tc>
        <w:tc>
          <w:tcPr>
            <w:tcW w:w="77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3957" w:themeFill="accent2"/>
          </w:tcPr>
          <w:p w14:paraId="75314030" w14:textId="77777777" w:rsidR="002A7473" w:rsidRPr="00C7687C" w:rsidRDefault="002A7473" w:rsidP="002A7473">
            <w:pPr>
              <w:pStyle w:val="TableHeader0"/>
              <w:jc w:val="center"/>
            </w:pPr>
            <w:r w:rsidRPr="00C7687C">
              <w:t>Risk Factor and/or Mitigation Description</w:t>
            </w:r>
          </w:p>
        </w:tc>
        <w:tc>
          <w:tcPr>
            <w:tcW w:w="839" w:type="dxa"/>
            <w:tcBorders>
              <w:top w:val="single" w:sz="4" w:space="0" w:color="FFFFFF" w:themeColor="background1"/>
              <w:left w:val="single" w:sz="4" w:space="0" w:color="FFFFFF" w:themeColor="background1"/>
              <w:bottom w:val="single" w:sz="4" w:space="0" w:color="FFFFFF" w:themeColor="background1"/>
              <w:right w:val="nil"/>
            </w:tcBorders>
            <w:shd w:val="clear" w:color="auto" w:fill="2B3957" w:themeFill="accent2"/>
          </w:tcPr>
          <w:p w14:paraId="7D78565D" w14:textId="77777777" w:rsidR="002A7473" w:rsidRPr="002A7473" w:rsidRDefault="002A7473" w:rsidP="002A7473">
            <w:pPr>
              <w:pStyle w:val="TableHeader0"/>
            </w:pPr>
            <w:r w:rsidRPr="002A7473">
              <w:t>Risk Rating</w:t>
            </w:r>
          </w:p>
        </w:tc>
      </w:tr>
      <w:tr w:rsidR="002A7473" w:rsidRPr="00C7687C" w14:paraId="73555F46" w14:textId="77777777" w:rsidTr="00215B6D">
        <w:tc>
          <w:tcPr>
            <w:tcW w:w="828" w:type="dxa"/>
            <w:tcBorders>
              <w:top w:val="single" w:sz="4" w:space="0" w:color="FFFFFF" w:themeColor="background1"/>
              <w:left w:val="nil"/>
              <w:bottom w:val="single" w:sz="4" w:space="0" w:color="FFFFFF" w:themeColor="background1"/>
              <w:right w:val="single" w:sz="4" w:space="0" w:color="FFFFFF" w:themeColor="background1"/>
            </w:tcBorders>
            <w:shd w:val="clear" w:color="auto" w:fill="F2F2F2"/>
          </w:tcPr>
          <w:p w14:paraId="768C2A61" w14:textId="77777777" w:rsidR="002A7473" w:rsidRPr="00C7687C" w:rsidRDefault="002A7473" w:rsidP="002A7473">
            <w:pPr>
              <w:pStyle w:val="TableText"/>
            </w:pPr>
            <w:r w:rsidRPr="00C7687C">
              <w:t>a)</w:t>
            </w:r>
          </w:p>
        </w:tc>
        <w:tc>
          <w:tcPr>
            <w:tcW w:w="77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14:paraId="7A42D3C1" w14:textId="1CC8042C" w:rsidR="002A7473" w:rsidRPr="00B15582" w:rsidRDefault="00FF0613" w:rsidP="002A7473">
            <w:pPr>
              <w:pStyle w:val="TableText"/>
            </w:pPr>
            <w:r>
              <w:t>N/A</w:t>
            </w:r>
          </w:p>
        </w:tc>
        <w:tc>
          <w:tcPr>
            <w:tcW w:w="839" w:type="dxa"/>
            <w:tcBorders>
              <w:top w:val="single" w:sz="4" w:space="0" w:color="FFFFFF" w:themeColor="background1"/>
              <w:left w:val="single" w:sz="4" w:space="0" w:color="FFFFFF" w:themeColor="background1"/>
              <w:bottom w:val="single" w:sz="4" w:space="0" w:color="FFFFFF" w:themeColor="background1"/>
              <w:right w:val="nil"/>
            </w:tcBorders>
            <w:shd w:val="clear" w:color="auto" w:fill="F2F2F2"/>
          </w:tcPr>
          <w:p w14:paraId="70C29184" w14:textId="34218F6F" w:rsidR="002A7473" w:rsidRPr="00C7687C" w:rsidRDefault="00FF0613" w:rsidP="002A7473">
            <w:pPr>
              <w:pStyle w:val="TableText"/>
            </w:pPr>
            <w:r>
              <w:t>0</w:t>
            </w:r>
          </w:p>
        </w:tc>
      </w:tr>
      <w:tr w:rsidR="002A7473" w:rsidRPr="00C7687C" w14:paraId="06591EB4" w14:textId="77777777" w:rsidTr="00215B6D">
        <w:tc>
          <w:tcPr>
            <w:tcW w:w="828" w:type="dxa"/>
            <w:tcBorders>
              <w:top w:val="single" w:sz="4" w:space="0" w:color="FFFFFF" w:themeColor="background1"/>
              <w:left w:val="nil"/>
              <w:bottom w:val="single" w:sz="4" w:space="0" w:color="FFFFFF" w:themeColor="background1"/>
              <w:right w:val="single" w:sz="4" w:space="0" w:color="FFFFFF" w:themeColor="background1"/>
            </w:tcBorders>
            <w:shd w:val="clear" w:color="auto" w:fill="F2F2F2"/>
          </w:tcPr>
          <w:p w14:paraId="2D34F70B" w14:textId="77777777" w:rsidR="002A7473" w:rsidRPr="00C7687C" w:rsidRDefault="002A7473" w:rsidP="002A7473">
            <w:pPr>
              <w:pStyle w:val="TableText"/>
            </w:pPr>
            <w:r w:rsidRPr="00C7687C">
              <w:t>b)</w:t>
            </w:r>
          </w:p>
        </w:tc>
        <w:tc>
          <w:tcPr>
            <w:tcW w:w="77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14:paraId="63F62926" w14:textId="539D549E" w:rsidR="002A7473" w:rsidRPr="00B15582" w:rsidRDefault="00FF0613" w:rsidP="002A7473">
            <w:pPr>
              <w:pStyle w:val="TableText"/>
            </w:pPr>
            <w:r>
              <w:t>N/A</w:t>
            </w:r>
          </w:p>
        </w:tc>
        <w:tc>
          <w:tcPr>
            <w:tcW w:w="839" w:type="dxa"/>
            <w:tcBorders>
              <w:top w:val="single" w:sz="4" w:space="0" w:color="FFFFFF" w:themeColor="background1"/>
              <w:left w:val="single" w:sz="4" w:space="0" w:color="FFFFFF" w:themeColor="background1"/>
              <w:bottom w:val="single" w:sz="4" w:space="0" w:color="FFFFFF" w:themeColor="background1"/>
              <w:right w:val="nil"/>
            </w:tcBorders>
            <w:shd w:val="clear" w:color="auto" w:fill="F2F2F2"/>
          </w:tcPr>
          <w:p w14:paraId="759593EF" w14:textId="068876F6" w:rsidR="002A7473" w:rsidRPr="00C7687C" w:rsidRDefault="00FF0613" w:rsidP="002A7473">
            <w:pPr>
              <w:pStyle w:val="TableText"/>
            </w:pPr>
            <w:r>
              <w:t>0</w:t>
            </w:r>
          </w:p>
        </w:tc>
      </w:tr>
      <w:tr w:rsidR="002A7473" w:rsidRPr="00C7687C" w14:paraId="2405D2E6" w14:textId="77777777" w:rsidTr="00215B6D">
        <w:tc>
          <w:tcPr>
            <w:tcW w:w="828" w:type="dxa"/>
            <w:tcBorders>
              <w:top w:val="single" w:sz="4" w:space="0" w:color="FFFFFF" w:themeColor="background1"/>
              <w:left w:val="nil"/>
              <w:bottom w:val="single" w:sz="4" w:space="0" w:color="FFFFFF" w:themeColor="background1"/>
              <w:right w:val="single" w:sz="4" w:space="0" w:color="FFFFFF" w:themeColor="background1"/>
            </w:tcBorders>
            <w:shd w:val="clear" w:color="auto" w:fill="F2F2F2"/>
          </w:tcPr>
          <w:p w14:paraId="23FBA201" w14:textId="77777777" w:rsidR="002A7473" w:rsidRPr="00C7687C" w:rsidRDefault="002A7473" w:rsidP="002A7473">
            <w:pPr>
              <w:pStyle w:val="TableText"/>
            </w:pPr>
            <w:r w:rsidRPr="00C7687C">
              <w:t>c)</w:t>
            </w:r>
          </w:p>
        </w:tc>
        <w:tc>
          <w:tcPr>
            <w:tcW w:w="77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14:paraId="0782C633" w14:textId="0631FA33" w:rsidR="002A7473" w:rsidRPr="00B15582" w:rsidRDefault="00FF0613" w:rsidP="002A7473">
            <w:pPr>
              <w:pStyle w:val="TableText"/>
            </w:pPr>
            <w:r>
              <w:t>N/A</w:t>
            </w:r>
          </w:p>
        </w:tc>
        <w:tc>
          <w:tcPr>
            <w:tcW w:w="839" w:type="dxa"/>
            <w:tcBorders>
              <w:top w:val="single" w:sz="4" w:space="0" w:color="FFFFFF" w:themeColor="background1"/>
              <w:left w:val="single" w:sz="4" w:space="0" w:color="FFFFFF" w:themeColor="background1"/>
              <w:bottom w:val="single" w:sz="4" w:space="0" w:color="FFFFFF" w:themeColor="background1"/>
              <w:right w:val="nil"/>
            </w:tcBorders>
            <w:shd w:val="clear" w:color="auto" w:fill="F2F2F2"/>
          </w:tcPr>
          <w:p w14:paraId="3EFA5118" w14:textId="3C48627B" w:rsidR="002A7473" w:rsidRPr="00C7687C" w:rsidRDefault="00FF0613" w:rsidP="002A7473">
            <w:pPr>
              <w:pStyle w:val="TableText"/>
            </w:pPr>
            <w:r>
              <w:t>0</w:t>
            </w:r>
          </w:p>
        </w:tc>
      </w:tr>
      <w:tr w:rsidR="002A7473" w:rsidRPr="00C7687C" w14:paraId="27442E16" w14:textId="77777777" w:rsidTr="00215B6D">
        <w:tc>
          <w:tcPr>
            <w:tcW w:w="828" w:type="dxa"/>
            <w:tcBorders>
              <w:top w:val="single" w:sz="4" w:space="0" w:color="FFFFFF" w:themeColor="background1"/>
              <w:left w:val="nil"/>
              <w:bottom w:val="single" w:sz="4" w:space="0" w:color="FFFFFF" w:themeColor="background1"/>
              <w:right w:val="single" w:sz="4" w:space="0" w:color="FFFFFF" w:themeColor="background1"/>
            </w:tcBorders>
            <w:shd w:val="clear" w:color="auto" w:fill="F2F2F2"/>
          </w:tcPr>
          <w:p w14:paraId="0E78787B" w14:textId="77777777" w:rsidR="002A7473" w:rsidRPr="00C7687C" w:rsidRDefault="002A7473" w:rsidP="002A7473">
            <w:pPr>
              <w:pStyle w:val="TableText"/>
            </w:pPr>
            <w:r w:rsidRPr="00C7687C">
              <w:t>d)</w:t>
            </w:r>
          </w:p>
        </w:tc>
        <w:tc>
          <w:tcPr>
            <w:tcW w:w="77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14:paraId="3EB2BFA1" w14:textId="157B28FD" w:rsidR="002A7473" w:rsidRPr="00B15582" w:rsidRDefault="00FF0613" w:rsidP="002A7473">
            <w:pPr>
              <w:pStyle w:val="TableText"/>
            </w:pPr>
            <w:r w:rsidRPr="00FF0613">
              <w:t>Score is zero as the project cash flow breakeven point is less than 4 years from the current risk assessment. Documentation demonstrating this are available to the auditor.</w:t>
            </w:r>
          </w:p>
        </w:tc>
        <w:tc>
          <w:tcPr>
            <w:tcW w:w="839" w:type="dxa"/>
            <w:tcBorders>
              <w:top w:val="single" w:sz="4" w:space="0" w:color="FFFFFF" w:themeColor="background1"/>
              <w:left w:val="single" w:sz="4" w:space="0" w:color="FFFFFF" w:themeColor="background1"/>
              <w:bottom w:val="single" w:sz="4" w:space="0" w:color="FFFFFF" w:themeColor="background1"/>
              <w:right w:val="nil"/>
            </w:tcBorders>
            <w:shd w:val="clear" w:color="auto" w:fill="F2F2F2"/>
          </w:tcPr>
          <w:p w14:paraId="6A6E5F20" w14:textId="3FF6DB7B" w:rsidR="002A7473" w:rsidRPr="00C7687C" w:rsidRDefault="00FF0613" w:rsidP="002A7473">
            <w:pPr>
              <w:pStyle w:val="TableText"/>
            </w:pPr>
            <w:r>
              <w:t>0</w:t>
            </w:r>
          </w:p>
        </w:tc>
      </w:tr>
      <w:tr w:rsidR="002A7473" w:rsidRPr="00C7687C" w14:paraId="7EC05185" w14:textId="77777777" w:rsidTr="00215B6D">
        <w:tc>
          <w:tcPr>
            <w:tcW w:w="828" w:type="dxa"/>
            <w:tcBorders>
              <w:top w:val="single" w:sz="4" w:space="0" w:color="FFFFFF" w:themeColor="background1"/>
              <w:left w:val="nil"/>
              <w:bottom w:val="single" w:sz="4" w:space="0" w:color="FFFFFF" w:themeColor="background1"/>
              <w:right w:val="single" w:sz="4" w:space="0" w:color="FFFFFF" w:themeColor="background1"/>
            </w:tcBorders>
            <w:shd w:val="clear" w:color="auto" w:fill="F2F2F2"/>
          </w:tcPr>
          <w:p w14:paraId="7DA8C533" w14:textId="77777777" w:rsidR="002A7473" w:rsidRPr="00C7687C" w:rsidRDefault="002A7473" w:rsidP="002A7473">
            <w:pPr>
              <w:pStyle w:val="TableText"/>
            </w:pPr>
            <w:r w:rsidRPr="00C7687C">
              <w:t>e)</w:t>
            </w:r>
          </w:p>
        </w:tc>
        <w:tc>
          <w:tcPr>
            <w:tcW w:w="77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14:paraId="4EA2331B" w14:textId="29686889" w:rsidR="00FF0613" w:rsidRPr="00B15582" w:rsidRDefault="00FF0613" w:rsidP="002A7473">
            <w:pPr>
              <w:pStyle w:val="TableText"/>
            </w:pPr>
            <w:r>
              <w:t>N/A</w:t>
            </w:r>
          </w:p>
        </w:tc>
        <w:tc>
          <w:tcPr>
            <w:tcW w:w="839" w:type="dxa"/>
            <w:tcBorders>
              <w:top w:val="single" w:sz="4" w:space="0" w:color="FFFFFF" w:themeColor="background1"/>
              <w:left w:val="single" w:sz="4" w:space="0" w:color="FFFFFF" w:themeColor="background1"/>
              <w:bottom w:val="single" w:sz="4" w:space="0" w:color="FFFFFF" w:themeColor="background1"/>
              <w:right w:val="nil"/>
            </w:tcBorders>
            <w:shd w:val="clear" w:color="auto" w:fill="F2F2F2"/>
          </w:tcPr>
          <w:p w14:paraId="3F8F7D22" w14:textId="7C4ECC81" w:rsidR="002A7473" w:rsidRPr="00C7687C" w:rsidRDefault="00FF0613" w:rsidP="002A7473">
            <w:pPr>
              <w:pStyle w:val="TableText"/>
            </w:pPr>
            <w:r>
              <w:t>0</w:t>
            </w:r>
          </w:p>
        </w:tc>
      </w:tr>
      <w:tr w:rsidR="002A7473" w:rsidRPr="00C7687C" w14:paraId="2DE95BFE" w14:textId="77777777" w:rsidTr="00215B6D">
        <w:tc>
          <w:tcPr>
            <w:tcW w:w="828" w:type="dxa"/>
            <w:tcBorders>
              <w:top w:val="single" w:sz="4" w:space="0" w:color="FFFFFF" w:themeColor="background1"/>
              <w:left w:val="nil"/>
              <w:bottom w:val="single" w:sz="4" w:space="0" w:color="FFFFFF" w:themeColor="background1"/>
              <w:right w:val="single" w:sz="4" w:space="0" w:color="FFFFFF" w:themeColor="background1"/>
            </w:tcBorders>
            <w:shd w:val="clear" w:color="auto" w:fill="F2F2F2"/>
          </w:tcPr>
          <w:p w14:paraId="33046928" w14:textId="77777777" w:rsidR="002A7473" w:rsidRPr="00C7687C" w:rsidRDefault="002A7473" w:rsidP="002A7473">
            <w:pPr>
              <w:pStyle w:val="TableText"/>
            </w:pPr>
            <w:r w:rsidRPr="00C7687C">
              <w:t>f)</w:t>
            </w:r>
          </w:p>
        </w:tc>
        <w:tc>
          <w:tcPr>
            <w:tcW w:w="77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14:paraId="4B42F787" w14:textId="7A3FC5AA" w:rsidR="002A7473" w:rsidRPr="00B15582" w:rsidRDefault="00FF0613" w:rsidP="002A7473">
            <w:pPr>
              <w:pStyle w:val="TableText"/>
            </w:pPr>
            <w:r>
              <w:t>N/A</w:t>
            </w:r>
          </w:p>
        </w:tc>
        <w:tc>
          <w:tcPr>
            <w:tcW w:w="839" w:type="dxa"/>
            <w:tcBorders>
              <w:top w:val="single" w:sz="4" w:space="0" w:color="FFFFFF" w:themeColor="background1"/>
              <w:left w:val="single" w:sz="4" w:space="0" w:color="FFFFFF" w:themeColor="background1"/>
              <w:bottom w:val="single" w:sz="4" w:space="0" w:color="FFFFFF" w:themeColor="background1"/>
              <w:right w:val="nil"/>
            </w:tcBorders>
            <w:shd w:val="clear" w:color="auto" w:fill="F2F2F2"/>
          </w:tcPr>
          <w:p w14:paraId="631EC145" w14:textId="7608745C" w:rsidR="002A7473" w:rsidRPr="00C7687C" w:rsidRDefault="00FF0613" w:rsidP="002A7473">
            <w:pPr>
              <w:pStyle w:val="TableText"/>
            </w:pPr>
            <w:r>
              <w:t>0</w:t>
            </w:r>
          </w:p>
        </w:tc>
      </w:tr>
      <w:tr w:rsidR="002A7473" w:rsidRPr="00C7687C" w14:paraId="49464A58" w14:textId="77777777" w:rsidTr="00215B6D">
        <w:tc>
          <w:tcPr>
            <w:tcW w:w="828" w:type="dxa"/>
            <w:tcBorders>
              <w:top w:val="single" w:sz="4" w:space="0" w:color="FFFFFF" w:themeColor="background1"/>
              <w:left w:val="nil"/>
              <w:bottom w:val="single" w:sz="4" w:space="0" w:color="FFFFFF" w:themeColor="background1"/>
              <w:right w:val="single" w:sz="4" w:space="0" w:color="FFFFFF" w:themeColor="background1"/>
            </w:tcBorders>
            <w:shd w:val="clear" w:color="auto" w:fill="F2F2F2"/>
          </w:tcPr>
          <w:p w14:paraId="6C7AF6A3" w14:textId="77777777" w:rsidR="002A7473" w:rsidRPr="00C7687C" w:rsidRDefault="002A7473" w:rsidP="002A7473">
            <w:pPr>
              <w:pStyle w:val="TableText"/>
            </w:pPr>
            <w:r w:rsidRPr="00C7687C">
              <w:t>g)</w:t>
            </w:r>
          </w:p>
        </w:tc>
        <w:tc>
          <w:tcPr>
            <w:tcW w:w="77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14:paraId="4454C37A" w14:textId="644F52D7" w:rsidR="002A7473" w:rsidRPr="00B15582" w:rsidRDefault="00FF0613" w:rsidP="002A7473">
            <w:pPr>
              <w:pStyle w:val="TableText"/>
            </w:pPr>
            <w:r>
              <w:t>N/A</w:t>
            </w:r>
          </w:p>
        </w:tc>
        <w:tc>
          <w:tcPr>
            <w:tcW w:w="839" w:type="dxa"/>
            <w:tcBorders>
              <w:top w:val="single" w:sz="4" w:space="0" w:color="FFFFFF" w:themeColor="background1"/>
              <w:left w:val="single" w:sz="4" w:space="0" w:color="FFFFFF" w:themeColor="background1"/>
              <w:bottom w:val="single" w:sz="4" w:space="0" w:color="FFFFFF" w:themeColor="background1"/>
              <w:right w:val="nil"/>
            </w:tcBorders>
            <w:shd w:val="clear" w:color="auto" w:fill="F2F2F2"/>
          </w:tcPr>
          <w:p w14:paraId="02DBE755" w14:textId="3D64E53C" w:rsidR="002A7473" w:rsidRPr="00C7687C" w:rsidRDefault="00FF0613" w:rsidP="002A7473">
            <w:pPr>
              <w:pStyle w:val="TableText"/>
            </w:pPr>
            <w:r>
              <w:t>0</w:t>
            </w:r>
          </w:p>
        </w:tc>
      </w:tr>
      <w:tr w:rsidR="002A7473" w:rsidRPr="00C7687C" w14:paraId="403884AA" w14:textId="77777777" w:rsidTr="00215B6D">
        <w:tc>
          <w:tcPr>
            <w:tcW w:w="828" w:type="dxa"/>
            <w:tcBorders>
              <w:top w:val="single" w:sz="4" w:space="0" w:color="FFFFFF" w:themeColor="background1"/>
              <w:left w:val="nil"/>
              <w:bottom w:val="single" w:sz="4" w:space="0" w:color="FFFFFF" w:themeColor="background1"/>
              <w:right w:val="single" w:sz="4" w:space="0" w:color="FFFFFF" w:themeColor="background1"/>
            </w:tcBorders>
            <w:shd w:val="clear" w:color="auto" w:fill="F2F2F2"/>
          </w:tcPr>
          <w:p w14:paraId="289F0117" w14:textId="77777777" w:rsidR="002A7473" w:rsidRPr="00C7687C" w:rsidRDefault="002A7473" w:rsidP="002A7473">
            <w:pPr>
              <w:pStyle w:val="TableText"/>
            </w:pPr>
            <w:r w:rsidRPr="00C7687C">
              <w:t>h)</w:t>
            </w:r>
          </w:p>
        </w:tc>
        <w:tc>
          <w:tcPr>
            <w:tcW w:w="77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14:paraId="76F9A824" w14:textId="0E1D1DE4" w:rsidR="002A7473" w:rsidRPr="00B15582" w:rsidRDefault="00FF0613" w:rsidP="002A7473">
            <w:pPr>
              <w:pStyle w:val="TableText"/>
            </w:pPr>
            <w:r w:rsidRPr="00FF0613">
              <w:t>SMPP has secured more than 80% of funding needed to cover the total cash out before the project reaches breakeven. Documentation demonstrating this are available to the auditor.</w:t>
            </w:r>
          </w:p>
        </w:tc>
        <w:tc>
          <w:tcPr>
            <w:tcW w:w="839" w:type="dxa"/>
            <w:tcBorders>
              <w:top w:val="single" w:sz="4" w:space="0" w:color="FFFFFF" w:themeColor="background1"/>
              <w:left w:val="single" w:sz="4" w:space="0" w:color="FFFFFF" w:themeColor="background1"/>
              <w:bottom w:val="single" w:sz="4" w:space="0" w:color="FFFFFF" w:themeColor="background1"/>
              <w:right w:val="nil"/>
            </w:tcBorders>
            <w:shd w:val="clear" w:color="auto" w:fill="F2F2F2"/>
          </w:tcPr>
          <w:p w14:paraId="62B476A5" w14:textId="62BAF35B" w:rsidR="002A7473" w:rsidRPr="00C7687C" w:rsidRDefault="00FF0613" w:rsidP="002A7473">
            <w:pPr>
              <w:pStyle w:val="TableText"/>
            </w:pPr>
            <w:r>
              <w:t>0</w:t>
            </w:r>
          </w:p>
        </w:tc>
      </w:tr>
      <w:tr w:rsidR="002A7473" w:rsidRPr="00C7687C" w14:paraId="2784ABF8" w14:textId="77777777" w:rsidTr="00215B6D">
        <w:tc>
          <w:tcPr>
            <w:tcW w:w="828" w:type="dxa"/>
            <w:tcBorders>
              <w:top w:val="single" w:sz="4" w:space="0" w:color="FFFFFF" w:themeColor="background1"/>
              <w:left w:val="nil"/>
              <w:bottom w:val="single" w:sz="12" w:space="0" w:color="FFFFFF" w:themeColor="background1"/>
              <w:right w:val="single" w:sz="4" w:space="0" w:color="FFFFFF" w:themeColor="background1"/>
            </w:tcBorders>
            <w:shd w:val="clear" w:color="auto" w:fill="F2F2F2"/>
          </w:tcPr>
          <w:p w14:paraId="534636BD" w14:textId="77777777" w:rsidR="002A7473" w:rsidRPr="00C7687C" w:rsidRDefault="002A7473" w:rsidP="002A7473">
            <w:pPr>
              <w:pStyle w:val="TableText"/>
            </w:pPr>
            <w:r w:rsidRPr="00C7687C">
              <w:t>i)</w:t>
            </w:r>
          </w:p>
        </w:tc>
        <w:tc>
          <w:tcPr>
            <w:tcW w:w="7765" w:type="dxa"/>
            <w:tcBorders>
              <w:top w:val="single" w:sz="4" w:space="0" w:color="FFFFFF" w:themeColor="background1"/>
              <w:left w:val="single" w:sz="4" w:space="0" w:color="FFFFFF" w:themeColor="background1"/>
              <w:bottom w:val="single" w:sz="12" w:space="0" w:color="FFFFFF" w:themeColor="background1"/>
              <w:right w:val="single" w:sz="4" w:space="0" w:color="FFFFFF" w:themeColor="background1"/>
            </w:tcBorders>
            <w:shd w:val="clear" w:color="auto" w:fill="F2F2F2"/>
          </w:tcPr>
          <w:p w14:paraId="47AEC75A" w14:textId="1269873F" w:rsidR="002A7473" w:rsidRPr="00B15582" w:rsidRDefault="00FF0613" w:rsidP="002A7473">
            <w:pPr>
              <w:pStyle w:val="TableText"/>
            </w:pPr>
            <w:r w:rsidRPr="00FF0613">
              <w:t>As stated above, the project’s financial resources are available and have been secured and set aside. Documentation demonstrating this are available to the auditor.</w:t>
            </w:r>
          </w:p>
        </w:tc>
        <w:tc>
          <w:tcPr>
            <w:tcW w:w="839" w:type="dxa"/>
            <w:tcBorders>
              <w:top w:val="single" w:sz="4" w:space="0" w:color="FFFFFF" w:themeColor="background1"/>
              <w:left w:val="single" w:sz="4" w:space="0" w:color="FFFFFF" w:themeColor="background1"/>
              <w:bottom w:val="single" w:sz="12" w:space="0" w:color="FFFFFF" w:themeColor="background1"/>
              <w:right w:val="nil"/>
            </w:tcBorders>
            <w:shd w:val="clear" w:color="auto" w:fill="F2F2F2"/>
          </w:tcPr>
          <w:p w14:paraId="1722A79B" w14:textId="3A8E32E8" w:rsidR="002A7473" w:rsidRPr="00C7687C" w:rsidRDefault="00FF0613" w:rsidP="002A7473">
            <w:pPr>
              <w:pStyle w:val="TableText"/>
            </w:pPr>
            <w:r>
              <w:t>-2</w:t>
            </w:r>
          </w:p>
        </w:tc>
      </w:tr>
      <w:tr w:rsidR="002A7473" w:rsidRPr="00C7687C" w14:paraId="33854842" w14:textId="77777777" w:rsidTr="00215B6D">
        <w:tc>
          <w:tcPr>
            <w:tcW w:w="8593" w:type="dxa"/>
            <w:gridSpan w:val="2"/>
            <w:tcBorders>
              <w:top w:val="single" w:sz="4" w:space="0" w:color="FFFFFF" w:themeColor="background1"/>
              <w:left w:val="nil"/>
              <w:bottom w:val="nil"/>
              <w:right w:val="single" w:sz="4" w:space="0" w:color="FFFFFF" w:themeColor="background1"/>
            </w:tcBorders>
            <w:shd w:val="clear" w:color="auto" w:fill="F2F2F2"/>
            <w:vAlign w:val="center"/>
          </w:tcPr>
          <w:p w14:paraId="27C60796" w14:textId="77777777" w:rsidR="002A7473" w:rsidRPr="007F5F05" w:rsidRDefault="002A7473" w:rsidP="002A7473">
            <w:pPr>
              <w:pStyle w:val="TableText"/>
              <w:rPr>
                <w:rFonts w:eastAsia="Times New Roman"/>
                <w:b/>
                <w:bCs/>
              </w:rPr>
            </w:pPr>
            <w:r w:rsidRPr="007F5F05">
              <w:rPr>
                <w:rFonts w:eastAsia="Times New Roman"/>
                <w:b/>
                <w:bCs/>
              </w:rPr>
              <w:t>Total Financial Viability (FV) [as applicable, ((a, b, c or d) + (e, f, g or h) + i)]</w:t>
            </w:r>
          </w:p>
          <w:p w14:paraId="731DCBB2" w14:textId="77777777" w:rsidR="002A7473" w:rsidRPr="00C7687C" w:rsidRDefault="002A7473" w:rsidP="002A7473">
            <w:pPr>
              <w:pStyle w:val="TableText"/>
            </w:pPr>
            <w:r w:rsidRPr="007F5F05">
              <w:rPr>
                <w:rFonts w:eastAsia="Times New Roman"/>
                <w:bCs/>
              </w:rPr>
              <w:t>Total may not be less than zero.</w:t>
            </w:r>
          </w:p>
        </w:tc>
        <w:tc>
          <w:tcPr>
            <w:tcW w:w="839" w:type="dxa"/>
            <w:tcBorders>
              <w:top w:val="single" w:sz="12" w:space="0" w:color="FFFFFF" w:themeColor="background1"/>
              <w:left w:val="single" w:sz="4" w:space="0" w:color="FFFFFF" w:themeColor="background1"/>
              <w:bottom w:val="nil"/>
              <w:right w:val="nil"/>
            </w:tcBorders>
            <w:shd w:val="clear" w:color="auto" w:fill="F2F2F2"/>
          </w:tcPr>
          <w:p w14:paraId="591C736F" w14:textId="7C43C532" w:rsidR="002A7473" w:rsidRPr="00C7687C" w:rsidRDefault="00FF0613" w:rsidP="002A7473">
            <w:pPr>
              <w:pStyle w:val="TableText"/>
              <w:rPr>
                <w:b/>
              </w:rPr>
            </w:pPr>
            <w:r>
              <w:rPr>
                <w:b/>
              </w:rPr>
              <w:t>0</w:t>
            </w:r>
          </w:p>
        </w:tc>
      </w:tr>
    </w:tbl>
    <w:p w14:paraId="1B31EB23" w14:textId="77777777" w:rsidR="002A7473" w:rsidRDefault="002A7473" w:rsidP="002A7473">
      <w:pPr>
        <w:spacing w:after="240" w:line="288" w:lineRule="auto"/>
        <w:rPr>
          <w:rFonts w:ascii="Arial" w:hAnsi="Arial" w:cs="Arial"/>
          <w:b/>
          <w:sz w:val="20"/>
          <w:szCs w:val="20"/>
        </w:rPr>
      </w:pP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4"/>
        <w:gridCol w:w="6605"/>
        <w:gridCol w:w="1201"/>
      </w:tblGrid>
      <w:tr w:rsidR="002A7473" w:rsidRPr="00C7687C" w14:paraId="2823A936" w14:textId="77777777" w:rsidTr="00215B6D">
        <w:tc>
          <w:tcPr>
            <w:tcW w:w="9432" w:type="dxa"/>
            <w:gridSpan w:val="3"/>
            <w:tcBorders>
              <w:top w:val="nil"/>
              <w:left w:val="nil"/>
              <w:bottom w:val="single" w:sz="4" w:space="0" w:color="FFFFFF" w:themeColor="background1"/>
              <w:right w:val="nil"/>
            </w:tcBorders>
            <w:shd w:val="clear" w:color="auto" w:fill="2B3957" w:themeFill="accent2"/>
          </w:tcPr>
          <w:p w14:paraId="65166B6A" w14:textId="77777777" w:rsidR="002A7473" w:rsidRPr="00C7687C" w:rsidRDefault="002A7473" w:rsidP="002A7473">
            <w:pPr>
              <w:pStyle w:val="TableHeader0"/>
              <w:jc w:val="center"/>
            </w:pPr>
            <w:r w:rsidRPr="00C7687C">
              <w:t>Opportunity Cost</w:t>
            </w:r>
          </w:p>
        </w:tc>
      </w:tr>
      <w:tr w:rsidR="002A7473" w:rsidRPr="00C7687C" w14:paraId="72C85470" w14:textId="77777777" w:rsidTr="00215B6D">
        <w:tc>
          <w:tcPr>
            <w:tcW w:w="840" w:type="dxa"/>
            <w:tcBorders>
              <w:top w:val="single" w:sz="4" w:space="0" w:color="FFFFFF" w:themeColor="background1"/>
              <w:left w:val="nil"/>
              <w:bottom w:val="single" w:sz="4" w:space="0" w:color="FFFFFF" w:themeColor="background1"/>
              <w:right w:val="single" w:sz="4" w:space="0" w:color="FFFFFF" w:themeColor="background1"/>
            </w:tcBorders>
            <w:shd w:val="clear" w:color="auto" w:fill="2B3957" w:themeFill="accent2"/>
          </w:tcPr>
          <w:p w14:paraId="7B1F3F13" w14:textId="77777777" w:rsidR="002A7473" w:rsidRPr="00C7687C" w:rsidRDefault="002A7473" w:rsidP="002A7473">
            <w:pPr>
              <w:pStyle w:val="TableHeader0"/>
            </w:pPr>
            <w:r w:rsidRPr="00C7687C">
              <w:t>Risk Factor</w:t>
            </w:r>
          </w:p>
        </w:tc>
        <w:tc>
          <w:tcPr>
            <w:tcW w:w="73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3957" w:themeFill="accent2"/>
          </w:tcPr>
          <w:p w14:paraId="78C3C086" w14:textId="77777777" w:rsidR="002A7473" w:rsidRPr="00C7687C" w:rsidRDefault="002A7473" w:rsidP="002A7473">
            <w:pPr>
              <w:pStyle w:val="TableHeader0"/>
              <w:jc w:val="center"/>
            </w:pPr>
            <w:r w:rsidRPr="00C7687C">
              <w:t>Risk Factor and/or Mitigation Description</w:t>
            </w:r>
          </w:p>
        </w:tc>
        <w:tc>
          <w:tcPr>
            <w:tcW w:w="1257" w:type="dxa"/>
            <w:tcBorders>
              <w:top w:val="single" w:sz="4" w:space="0" w:color="FFFFFF" w:themeColor="background1"/>
              <w:left w:val="single" w:sz="4" w:space="0" w:color="FFFFFF" w:themeColor="background1"/>
              <w:bottom w:val="single" w:sz="4" w:space="0" w:color="FFFFFF" w:themeColor="background1"/>
              <w:right w:val="nil"/>
            </w:tcBorders>
            <w:shd w:val="clear" w:color="auto" w:fill="2B3957" w:themeFill="accent2"/>
          </w:tcPr>
          <w:p w14:paraId="08BDC201" w14:textId="77777777" w:rsidR="002A7473" w:rsidRPr="00C7687C" w:rsidRDefault="002A7473" w:rsidP="002A7473">
            <w:pPr>
              <w:pStyle w:val="TableHeader0"/>
            </w:pPr>
            <w:r w:rsidRPr="00C7687C">
              <w:t>Risk Rating</w:t>
            </w:r>
          </w:p>
        </w:tc>
      </w:tr>
      <w:tr w:rsidR="002A7473" w:rsidRPr="00C7687C" w14:paraId="0F8FD0F6" w14:textId="77777777" w:rsidTr="00215B6D">
        <w:tc>
          <w:tcPr>
            <w:tcW w:w="840" w:type="dxa"/>
            <w:tcBorders>
              <w:top w:val="single" w:sz="4" w:space="0" w:color="FFFFFF" w:themeColor="background1"/>
              <w:left w:val="nil"/>
              <w:bottom w:val="single" w:sz="4" w:space="0" w:color="FFFFFF" w:themeColor="background1"/>
              <w:right w:val="single" w:sz="4" w:space="0" w:color="FFFFFF" w:themeColor="background1"/>
            </w:tcBorders>
            <w:shd w:val="clear" w:color="auto" w:fill="F2F2F2"/>
          </w:tcPr>
          <w:p w14:paraId="0A5C2FBF" w14:textId="77777777" w:rsidR="002A7473" w:rsidRPr="00F14046" w:rsidRDefault="002A7473" w:rsidP="002A7473">
            <w:pPr>
              <w:pStyle w:val="TableText"/>
              <w:rPr>
                <w:szCs w:val="21"/>
              </w:rPr>
            </w:pPr>
            <w:r w:rsidRPr="00F14046">
              <w:rPr>
                <w:szCs w:val="21"/>
              </w:rPr>
              <w:t>a)</w:t>
            </w:r>
          </w:p>
        </w:tc>
        <w:tc>
          <w:tcPr>
            <w:tcW w:w="73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14:paraId="0DA06AF6" w14:textId="2043E8C2" w:rsidR="002A7473" w:rsidRPr="00F14046" w:rsidRDefault="00E6057D" w:rsidP="002A7473">
            <w:pPr>
              <w:pStyle w:val="TableText"/>
              <w:rPr>
                <w:szCs w:val="21"/>
              </w:rPr>
            </w:pPr>
            <w:r>
              <w:rPr>
                <w:szCs w:val="21"/>
              </w:rPr>
              <w:t>N/A</w:t>
            </w:r>
          </w:p>
        </w:tc>
        <w:tc>
          <w:tcPr>
            <w:tcW w:w="1257" w:type="dxa"/>
            <w:tcBorders>
              <w:top w:val="single" w:sz="4" w:space="0" w:color="FFFFFF" w:themeColor="background1"/>
              <w:left w:val="single" w:sz="4" w:space="0" w:color="FFFFFF" w:themeColor="background1"/>
              <w:bottom w:val="single" w:sz="4" w:space="0" w:color="FFFFFF" w:themeColor="background1"/>
              <w:right w:val="nil"/>
            </w:tcBorders>
            <w:shd w:val="clear" w:color="auto" w:fill="F2F2F2"/>
          </w:tcPr>
          <w:p w14:paraId="5E341829" w14:textId="68452AF3" w:rsidR="002A7473" w:rsidRPr="00F14046" w:rsidRDefault="00E6057D" w:rsidP="002A7473">
            <w:pPr>
              <w:pStyle w:val="TableText"/>
              <w:rPr>
                <w:szCs w:val="21"/>
              </w:rPr>
            </w:pPr>
            <w:r>
              <w:rPr>
                <w:szCs w:val="21"/>
              </w:rPr>
              <w:t>0</w:t>
            </w:r>
          </w:p>
        </w:tc>
      </w:tr>
      <w:tr w:rsidR="002A7473" w:rsidRPr="00C7687C" w14:paraId="0C94957C" w14:textId="77777777" w:rsidTr="00215B6D">
        <w:tc>
          <w:tcPr>
            <w:tcW w:w="840" w:type="dxa"/>
            <w:tcBorders>
              <w:top w:val="single" w:sz="4" w:space="0" w:color="FFFFFF" w:themeColor="background1"/>
              <w:left w:val="nil"/>
              <w:bottom w:val="single" w:sz="4" w:space="0" w:color="FFFFFF" w:themeColor="background1"/>
              <w:right w:val="single" w:sz="4" w:space="0" w:color="FFFFFF" w:themeColor="background1"/>
            </w:tcBorders>
            <w:shd w:val="clear" w:color="auto" w:fill="F2F2F2"/>
          </w:tcPr>
          <w:p w14:paraId="1B502EB5" w14:textId="77777777" w:rsidR="002A7473" w:rsidRPr="00F14046" w:rsidRDefault="002A7473" w:rsidP="002A7473">
            <w:pPr>
              <w:pStyle w:val="TableText"/>
              <w:rPr>
                <w:szCs w:val="21"/>
              </w:rPr>
            </w:pPr>
            <w:r w:rsidRPr="00F14046">
              <w:rPr>
                <w:szCs w:val="21"/>
              </w:rPr>
              <w:t>b)</w:t>
            </w:r>
          </w:p>
        </w:tc>
        <w:tc>
          <w:tcPr>
            <w:tcW w:w="73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14:paraId="6E1C9836" w14:textId="73AEAA14" w:rsidR="002A7473" w:rsidRPr="00F14046" w:rsidRDefault="00E6057D" w:rsidP="002A7473">
            <w:pPr>
              <w:pStyle w:val="TableText"/>
              <w:rPr>
                <w:szCs w:val="21"/>
              </w:rPr>
            </w:pPr>
            <w:r>
              <w:rPr>
                <w:szCs w:val="21"/>
              </w:rPr>
              <w:t>N/A</w:t>
            </w:r>
          </w:p>
        </w:tc>
        <w:tc>
          <w:tcPr>
            <w:tcW w:w="1257" w:type="dxa"/>
            <w:tcBorders>
              <w:top w:val="single" w:sz="4" w:space="0" w:color="FFFFFF" w:themeColor="background1"/>
              <w:left w:val="single" w:sz="4" w:space="0" w:color="FFFFFF" w:themeColor="background1"/>
              <w:bottom w:val="single" w:sz="4" w:space="0" w:color="FFFFFF" w:themeColor="background1"/>
              <w:right w:val="nil"/>
            </w:tcBorders>
            <w:shd w:val="clear" w:color="auto" w:fill="F2F2F2"/>
          </w:tcPr>
          <w:p w14:paraId="5A08543D" w14:textId="408D8943" w:rsidR="002A7473" w:rsidRPr="00F14046" w:rsidRDefault="00E6057D" w:rsidP="002A7473">
            <w:pPr>
              <w:pStyle w:val="TableText"/>
              <w:rPr>
                <w:szCs w:val="21"/>
              </w:rPr>
            </w:pPr>
            <w:r>
              <w:rPr>
                <w:szCs w:val="21"/>
              </w:rPr>
              <w:t>0</w:t>
            </w:r>
          </w:p>
        </w:tc>
      </w:tr>
      <w:tr w:rsidR="002A7473" w:rsidRPr="00C7687C" w14:paraId="213B2CA4" w14:textId="77777777" w:rsidTr="00215B6D">
        <w:tc>
          <w:tcPr>
            <w:tcW w:w="840" w:type="dxa"/>
            <w:tcBorders>
              <w:top w:val="single" w:sz="4" w:space="0" w:color="FFFFFF" w:themeColor="background1"/>
              <w:left w:val="nil"/>
              <w:bottom w:val="single" w:sz="4" w:space="0" w:color="FFFFFF" w:themeColor="background1"/>
              <w:right w:val="single" w:sz="4" w:space="0" w:color="FFFFFF" w:themeColor="background1"/>
            </w:tcBorders>
            <w:shd w:val="clear" w:color="auto" w:fill="F2F2F2"/>
          </w:tcPr>
          <w:p w14:paraId="3B376A0C" w14:textId="77777777" w:rsidR="002A7473" w:rsidRPr="00F14046" w:rsidRDefault="002A7473" w:rsidP="002A7473">
            <w:pPr>
              <w:pStyle w:val="TableText"/>
              <w:rPr>
                <w:szCs w:val="21"/>
              </w:rPr>
            </w:pPr>
            <w:r w:rsidRPr="00F14046">
              <w:rPr>
                <w:szCs w:val="21"/>
              </w:rPr>
              <w:t>c)</w:t>
            </w:r>
          </w:p>
        </w:tc>
        <w:tc>
          <w:tcPr>
            <w:tcW w:w="73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14:paraId="57EC2A72" w14:textId="549D91F9" w:rsidR="002A7473" w:rsidRPr="00F14046" w:rsidRDefault="00E6057D" w:rsidP="002A7473">
            <w:pPr>
              <w:pStyle w:val="TableText"/>
              <w:rPr>
                <w:szCs w:val="21"/>
              </w:rPr>
            </w:pPr>
            <w:r>
              <w:rPr>
                <w:szCs w:val="21"/>
              </w:rPr>
              <w:t>N/A</w:t>
            </w:r>
          </w:p>
        </w:tc>
        <w:tc>
          <w:tcPr>
            <w:tcW w:w="1257" w:type="dxa"/>
            <w:tcBorders>
              <w:top w:val="single" w:sz="4" w:space="0" w:color="FFFFFF" w:themeColor="background1"/>
              <w:left w:val="single" w:sz="4" w:space="0" w:color="FFFFFF" w:themeColor="background1"/>
              <w:bottom w:val="single" w:sz="4" w:space="0" w:color="FFFFFF" w:themeColor="background1"/>
              <w:right w:val="nil"/>
            </w:tcBorders>
            <w:shd w:val="clear" w:color="auto" w:fill="F2F2F2"/>
          </w:tcPr>
          <w:p w14:paraId="1A253A52" w14:textId="10D7B924" w:rsidR="002A7473" w:rsidRPr="00F14046" w:rsidRDefault="00E6057D" w:rsidP="002A7473">
            <w:pPr>
              <w:pStyle w:val="TableText"/>
              <w:rPr>
                <w:szCs w:val="21"/>
              </w:rPr>
            </w:pPr>
            <w:r>
              <w:rPr>
                <w:szCs w:val="21"/>
              </w:rPr>
              <w:t>0</w:t>
            </w:r>
          </w:p>
        </w:tc>
      </w:tr>
      <w:tr w:rsidR="002A7473" w:rsidRPr="00C7687C" w14:paraId="157CC9BC" w14:textId="77777777" w:rsidTr="00215B6D">
        <w:tc>
          <w:tcPr>
            <w:tcW w:w="840" w:type="dxa"/>
            <w:tcBorders>
              <w:top w:val="single" w:sz="4" w:space="0" w:color="FFFFFF" w:themeColor="background1"/>
              <w:left w:val="nil"/>
              <w:bottom w:val="single" w:sz="4" w:space="0" w:color="FFFFFF" w:themeColor="background1"/>
              <w:right w:val="single" w:sz="4" w:space="0" w:color="FFFFFF" w:themeColor="background1"/>
            </w:tcBorders>
            <w:shd w:val="clear" w:color="auto" w:fill="F2F2F2"/>
          </w:tcPr>
          <w:p w14:paraId="762C42AD" w14:textId="77777777" w:rsidR="002A7473" w:rsidRPr="00F14046" w:rsidRDefault="002A7473" w:rsidP="002A7473">
            <w:pPr>
              <w:pStyle w:val="TableText"/>
              <w:rPr>
                <w:szCs w:val="21"/>
              </w:rPr>
            </w:pPr>
            <w:r w:rsidRPr="00F14046">
              <w:rPr>
                <w:szCs w:val="21"/>
              </w:rPr>
              <w:t>d)</w:t>
            </w:r>
          </w:p>
        </w:tc>
        <w:tc>
          <w:tcPr>
            <w:tcW w:w="73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14:paraId="1B06E268" w14:textId="1780A3D7" w:rsidR="002A7473" w:rsidRPr="00F14046" w:rsidRDefault="00E6057D" w:rsidP="002A7473">
            <w:pPr>
              <w:pStyle w:val="TableText"/>
              <w:rPr>
                <w:szCs w:val="21"/>
              </w:rPr>
            </w:pPr>
            <w:r w:rsidRPr="00E6057D">
              <w:rPr>
                <w:szCs w:val="21"/>
              </w:rPr>
              <w:t xml:space="preserve">The project conducted an NPV analysis for its operations covering the 47-year crediting period and compared this to an NPV analysis of the establishment of an Industrial paper pulp plantation. Our project was deemed to have a higher NPV. </w:t>
            </w:r>
          </w:p>
        </w:tc>
        <w:tc>
          <w:tcPr>
            <w:tcW w:w="1257" w:type="dxa"/>
            <w:tcBorders>
              <w:top w:val="single" w:sz="4" w:space="0" w:color="FFFFFF" w:themeColor="background1"/>
              <w:left w:val="single" w:sz="4" w:space="0" w:color="FFFFFF" w:themeColor="background1"/>
              <w:bottom w:val="single" w:sz="4" w:space="0" w:color="FFFFFF" w:themeColor="background1"/>
              <w:right w:val="nil"/>
            </w:tcBorders>
            <w:shd w:val="clear" w:color="auto" w:fill="F2F2F2"/>
          </w:tcPr>
          <w:p w14:paraId="7228777C" w14:textId="3EE65FD6" w:rsidR="002A7473" w:rsidRPr="00F14046" w:rsidRDefault="00E6057D" w:rsidP="002A7473">
            <w:pPr>
              <w:pStyle w:val="TableText"/>
              <w:rPr>
                <w:szCs w:val="21"/>
              </w:rPr>
            </w:pPr>
            <w:r>
              <w:rPr>
                <w:szCs w:val="21"/>
              </w:rPr>
              <w:t>0</w:t>
            </w:r>
          </w:p>
        </w:tc>
      </w:tr>
      <w:tr w:rsidR="002A7473" w:rsidRPr="00C7687C" w14:paraId="4A60A196" w14:textId="77777777" w:rsidTr="00215B6D">
        <w:tc>
          <w:tcPr>
            <w:tcW w:w="840" w:type="dxa"/>
            <w:tcBorders>
              <w:top w:val="single" w:sz="4" w:space="0" w:color="FFFFFF" w:themeColor="background1"/>
              <w:left w:val="nil"/>
              <w:bottom w:val="single" w:sz="4" w:space="0" w:color="FFFFFF" w:themeColor="background1"/>
              <w:right w:val="single" w:sz="4" w:space="0" w:color="FFFFFF" w:themeColor="background1"/>
            </w:tcBorders>
            <w:shd w:val="clear" w:color="auto" w:fill="F2F2F2"/>
          </w:tcPr>
          <w:p w14:paraId="6F53E42C" w14:textId="77777777" w:rsidR="002A7473" w:rsidRPr="00F14046" w:rsidRDefault="002A7473" w:rsidP="002A7473">
            <w:pPr>
              <w:pStyle w:val="TableText"/>
              <w:rPr>
                <w:szCs w:val="21"/>
              </w:rPr>
            </w:pPr>
            <w:r w:rsidRPr="00F14046">
              <w:rPr>
                <w:szCs w:val="21"/>
              </w:rPr>
              <w:lastRenderedPageBreak/>
              <w:t>e)</w:t>
            </w:r>
          </w:p>
        </w:tc>
        <w:tc>
          <w:tcPr>
            <w:tcW w:w="73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14:paraId="006552A4" w14:textId="30A98BF5" w:rsidR="002A7473" w:rsidRPr="00F14046" w:rsidRDefault="00E6057D" w:rsidP="002A7473">
            <w:pPr>
              <w:pStyle w:val="TableText"/>
              <w:rPr>
                <w:szCs w:val="21"/>
              </w:rPr>
            </w:pPr>
            <w:r>
              <w:rPr>
                <w:szCs w:val="21"/>
              </w:rPr>
              <w:t>N/A</w:t>
            </w:r>
          </w:p>
        </w:tc>
        <w:tc>
          <w:tcPr>
            <w:tcW w:w="1257" w:type="dxa"/>
            <w:tcBorders>
              <w:top w:val="single" w:sz="4" w:space="0" w:color="FFFFFF" w:themeColor="background1"/>
              <w:left w:val="single" w:sz="4" w:space="0" w:color="FFFFFF" w:themeColor="background1"/>
              <w:bottom w:val="single" w:sz="4" w:space="0" w:color="FFFFFF" w:themeColor="background1"/>
              <w:right w:val="nil"/>
            </w:tcBorders>
            <w:shd w:val="clear" w:color="auto" w:fill="F2F2F2"/>
          </w:tcPr>
          <w:p w14:paraId="4A200B5C" w14:textId="26F772B4" w:rsidR="002A7473" w:rsidRPr="00F14046" w:rsidRDefault="00E6057D" w:rsidP="002A7473">
            <w:pPr>
              <w:pStyle w:val="TableText"/>
              <w:rPr>
                <w:szCs w:val="21"/>
              </w:rPr>
            </w:pPr>
            <w:r>
              <w:rPr>
                <w:szCs w:val="21"/>
              </w:rPr>
              <w:t>0</w:t>
            </w:r>
          </w:p>
        </w:tc>
      </w:tr>
      <w:tr w:rsidR="002A7473" w:rsidRPr="00C7687C" w14:paraId="29F65102" w14:textId="77777777" w:rsidTr="00215B6D">
        <w:tc>
          <w:tcPr>
            <w:tcW w:w="840" w:type="dxa"/>
            <w:tcBorders>
              <w:top w:val="single" w:sz="4" w:space="0" w:color="FFFFFF" w:themeColor="background1"/>
              <w:left w:val="nil"/>
              <w:bottom w:val="single" w:sz="4" w:space="0" w:color="FFFFFF" w:themeColor="background1"/>
              <w:right w:val="single" w:sz="4" w:space="0" w:color="FFFFFF" w:themeColor="background1"/>
            </w:tcBorders>
            <w:shd w:val="clear" w:color="auto" w:fill="F2F2F2"/>
          </w:tcPr>
          <w:p w14:paraId="7823E58F" w14:textId="77777777" w:rsidR="002A7473" w:rsidRPr="00F14046" w:rsidRDefault="002A7473" w:rsidP="002A7473">
            <w:pPr>
              <w:pStyle w:val="TableText"/>
              <w:rPr>
                <w:szCs w:val="21"/>
              </w:rPr>
            </w:pPr>
            <w:r w:rsidRPr="00F14046">
              <w:rPr>
                <w:szCs w:val="21"/>
              </w:rPr>
              <w:t>f)</w:t>
            </w:r>
          </w:p>
        </w:tc>
        <w:tc>
          <w:tcPr>
            <w:tcW w:w="73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14:paraId="142A98A3" w14:textId="060FCA87" w:rsidR="002A7473" w:rsidRPr="00F14046" w:rsidRDefault="00E6057D" w:rsidP="002A7473">
            <w:pPr>
              <w:pStyle w:val="TableText"/>
              <w:rPr>
                <w:szCs w:val="21"/>
              </w:rPr>
            </w:pPr>
            <w:r>
              <w:rPr>
                <w:szCs w:val="21"/>
              </w:rPr>
              <w:t>N/A</w:t>
            </w:r>
          </w:p>
        </w:tc>
        <w:tc>
          <w:tcPr>
            <w:tcW w:w="1257" w:type="dxa"/>
            <w:tcBorders>
              <w:top w:val="single" w:sz="4" w:space="0" w:color="FFFFFF" w:themeColor="background1"/>
              <w:left w:val="single" w:sz="4" w:space="0" w:color="FFFFFF" w:themeColor="background1"/>
              <w:bottom w:val="single" w:sz="4" w:space="0" w:color="FFFFFF" w:themeColor="background1"/>
              <w:right w:val="nil"/>
            </w:tcBorders>
            <w:shd w:val="clear" w:color="auto" w:fill="F2F2F2"/>
          </w:tcPr>
          <w:p w14:paraId="412E5817" w14:textId="7DF834AF" w:rsidR="002A7473" w:rsidRPr="00F14046" w:rsidRDefault="00E6057D" w:rsidP="002A7473">
            <w:pPr>
              <w:pStyle w:val="TableText"/>
              <w:rPr>
                <w:szCs w:val="21"/>
              </w:rPr>
            </w:pPr>
            <w:r>
              <w:rPr>
                <w:szCs w:val="21"/>
              </w:rPr>
              <w:t>0</w:t>
            </w:r>
          </w:p>
        </w:tc>
      </w:tr>
      <w:tr w:rsidR="002A7473" w:rsidRPr="00C7687C" w14:paraId="3481F59E" w14:textId="77777777" w:rsidTr="00215B6D">
        <w:tc>
          <w:tcPr>
            <w:tcW w:w="840" w:type="dxa"/>
            <w:tcBorders>
              <w:top w:val="single" w:sz="4" w:space="0" w:color="FFFFFF" w:themeColor="background1"/>
              <w:left w:val="nil"/>
              <w:bottom w:val="single" w:sz="4" w:space="0" w:color="FFFFFF" w:themeColor="background1"/>
              <w:right w:val="single" w:sz="4" w:space="0" w:color="FFFFFF" w:themeColor="background1"/>
            </w:tcBorders>
            <w:shd w:val="clear" w:color="auto" w:fill="F2F2F2"/>
          </w:tcPr>
          <w:p w14:paraId="698E8DB8" w14:textId="77777777" w:rsidR="002A7473" w:rsidRPr="00F14046" w:rsidRDefault="002A7473" w:rsidP="002A7473">
            <w:pPr>
              <w:pStyle w:val="TableText"/>
              <w:rPr>
                <w:szCs w:val="21"/>
              </w:rPr>
            </w:pPr>
            <w:r w:rsidRPr="00F14046">
              <w:rPr>
                <w:szCs w:val="21"/>
              </w:rPr>
              <w:t>g)</w:t>
            </w:r>
          </w:p>
        </w:tc>
        <w:tc>
          <w:tcPr>
            <w:tcW w:w="73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14:paraId="1CDFBD70" w14:textId="26C52BE3" w:rsidR="002A7473" w:rsidRPr="00F14046" w:rsidRDefault="00E6057D" w:rsidP="002A7473">
            <w:pPr>
              <w:pStyle w:val="TableText"/>
              <w:rPr>
                <w:szCs w:val="21"/>
              </w:rPr>
            </w:pPr>
            <w:r>
              <w:rPr>
                <w:szCs w:val="21"/>
              </w:rPr>
              <w:t>N/A</w:t>
            </w:r>
          </w:p>
        </w:tc>
        <w:tc>
          <w:tcPr>
            <w:tcW w:w="1257" w:type="dxa"/>
            <w:tcBorders>
              <w:top w:val="single" w:sz="4" w:space="0" w:color="FFFFFF" w:themeColor="background1"/>
              <w:left w:val="single" w:sz="4" w:space="0" w:color="FFFFFF" w:themeColor="background1"/>
              <w:bottom w:val="single" w:sz="4" w:space="0" w:color="FFFFFF" w:themeColor="background1"/>
              <w:right w:val="nil"/>
            </w:tcBorders>
            <w:shd w:val="clear" w:color="auto" w:fill="F2F2F2"/>
          </w:tcPr>
          <w:p w14:paraId="4E733340" w14:textId="360A20D9" w:rsidR="002A7473" w:rsidRPr="00F14046" w:rsidRDefault="00E6057D" w:rsidP="002A7473">
            <w:pPr>
              <w:pStyle w:val="TableText"/>
              <w:rPr>
                <w:szCs w:val="21"/>
              </w:rPr>
            </w:pPr>
            <w:r>
              <w:rPr>
                <w:szCs w:val="21"/>
              </w:rPr>
              <w:t>0</w:t>
            </w:r>
          </w:p>
        </w:tc>
      </w:tr>
      <w:tr w:rsidR="002A7473" w:rsidRPr="00C7687C" w14:paraId="24E5574D" w14:textId="77777777" w:rsidTr="00215B6D">
        <w:tc>
          <w:tcPr>
            <w:tcW w:w="840" w:type="dxa"/>
            <w:tcBorders>
              <w:top w:val="single" w:sz="4" w:space="0" w:color="FFFFFF" w:themeColor="background1"/>
              <w:left w:val="nil"/>
              <w:bottom w:val="single" w:sz="4" w:space="0" w:color="FFFFFF" w:themeColor="background1"/>
              <w:right w:val="single" w:sz="4" w:space="0" w:color="FFFFFF" w:themeColor="background1"/>
            </w:tcBorders>
            <w:shd w:val="clear" w:color="auto" w:fill="F2F2F2"/>
          </w:tcPr>
          <w:p w14:paraId="78B8804B" w14:textId="77777777" w:rsidR="002A7473" w:rsidRPr="00F14046" w:rsidRDefault="002A7473" w:rsidP="002A7473">
            <w:pPr>
              <w:pStyle w:val="TableText"/>
              <w:rPr>
                <w:szCs w:val="21"/>
              </w:rPr>
            </w:pPr>
            <w:r w:rsidRPr="00F14046">
              <w:rPr>
                <w:szCs w:val="21"/>
              </w:rPr>
              <w:t>h)</w:t>
            </w:r>
          </w:p>
        </w:tc>
        <w:tc>
          <w:tcPr>
            <w:tcW w:w="73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14:paraId="591EAB8A" w14:textId="2BE06E12" w:rsidR="002A7473" w:rsidRPr="00F14046" w:rsidRDefault="00E6057D" w:rsidP="002A7473">
            <w:pPr>
              <w:pStyle w:val="TableText"/>
              <w:rPr>
                <w:szCs w:val="21"/>
              </w:rPr>
            </w:pPr>
            <w:r>
              <w:rPr>
                <w:szCs w:val="21"/>
              </w:rPr>
              <w:t>N/A</w:t>
            </w:r>
          </w:p>
        </w:tc>
        <w:tc>
          <w:tcPr>
            <w:tcW w:w="1257" w:type="dxa"/>
            <w:tcBorders>
              <w:top w:val="single" w:sz="4" w:space="0" w:color="FFFFFF" w:themeColor="background1"/>
              <w:left w:val="single" w:sz="4" w:space="0" w:color="FFFFFF" w:themeColor="background1"/>
              <w:bottom w:val="single" w:sz="4" w:space="0" w:color="FFFFFF" w:themeColor="background1"/>
              <w:right w:val="nil"/>
            </w:tcBorders>
            <w:shd w:val="clear" w:color="auto" w:fill="F2F2F2"/>
          </w:tcPr>
          <w:p w14:paraId="08A7B55D" w14:textId="3D9B07AA" w:rsidR="002A7473" w:rsidRPr="00F14046" w:rsidRDefault="00E6057D" w:rsidP="002A7473">
            <w:pPr>
              <w:pStyle w:val="TableText"/>
              <w:rPr>
                <w:szCs w:val="21"/>
              </w:rPr>
            </w:pPr>
            <w:r>
              <w:rPr>
                <w:szCs w:val="21"/>
              </w:rPr>
              <w:t>0</w:t>
            </w:r>
          </w:p>
        </w:tc>
      </w:tr>
      <w:tr w:rsidR="002A7473" w:rsidRPr="00C7687C" w14:paraId="02209391" w14:textId="77777777" w:rsidTr="00215B6D">
        <w:tc>
          <w:tcPr>
            <w:tcW w:w="840" w:type="dxa"/>
            <w:tcBorders>
              <w:top w:val="single" w:sz="4" w:space="0" w:color="FFFFFF" w:themeColor="background1"/>
              <w:left w:val="nil"/>
              <w:bottom w:val="single" w:sz="12" w:space="0" w:color="FFFFFF" w:themeColor="background1"/>
              <w:right w:val="single" w:sz="4" w:space="0" w:color="FFFFFF" w:themeColor="background1"/>
            </w:tcBorders>
            <w:shd w:val="clear" w:color="auto" w:fill="F2F2F2"/>
          </w:tcPr>
          <w:p w14:paraId="0D52E663" w14:textId="77777777" w:rsidR="002A7473" w:rsidRPr="00F14046" w:rsidRDefault="002A7473" w:rsidP="002A7473">
            <w:pPr>
              <w:pStyle w:val="TableText"/>
              <w:rPr>
                <w:szCs w:val="21"/>
              </w:rPr>
            </w:pPr>
            <w:r w:rsidRPr="00F14046">
              <w:rPr>
                <w:szCs w:val="21"/>
              </w:rPr>
              <w:t>i)</w:t>
            </w:r>
          </w:p>
        </w:tc>
        <w:tc>
          <w:tcPr>
            <w:tcW w:w="7335" w:type="dxa"/>
            <w:tcBorders>
              <w:top w:val="single" w:sz="4" w:space="0" w:color="FFFFFF" w:themeColor="background1"/>
              <w:left w:val="single" w:sz="4" w:space="0" w:color="FFFFFF" w:themeColor="background1"/>
              <w:bottom w:val="single" w:sz="12" w:space="0" w:color="FFFFFF" w:themeColor="background1"/>
              <w:right w:val="single" w:sz="4" w:space="0" w:color="FFFFFF" w:themeColor="background1"/>
            </w:tcBorders>
            <w:shd w:val="clear" w:color="auto" w:fill="F2F2F2"/>
          </w:tcPr>
          <w:p w14:paraId="405D2D65" w14:textId="5F6AEEFC" w:rsidR="002A7473" w:rsidRPr="00F14046" w:rsidRDefault="00E6057D" w:rsidP="002A7473">
            <w:pPr>
              <w:pStyle w:val="TableText"/>
              <w:rPr>
                <w:szCs w:val="21"/>
              </w:rPr>
            </w:pPr>
            <w:r>
              <w:rPr>
                <w:szCs w:val="21"/>
              </w:rPr>
              <w:t>N/A</w:t>
            </w:r>
          </w:p>
        </w:tc>
        <w:tc>
          <w:tcPr>
            <w:tcW w:w="1257" w:type="dxa"/>
            <w:tcBorders>
              <w:top w:val="single" w:sz="4" w:space="0" w:color="FFFFFF" w:themeColor="background1"/>
              <w:left w:val="single" w:sz="4" w:space="0" w:color="FFFFFF" w:themeColor="background1"/>
              <w:bottom w:val="single" w:sz="12" w:space="0" w:color="FFFFFF" w:themeColor="background1"/>
              <w:right w:val="nil"/>
            </w:tcBorders>
            <w:shd w:val="clear" w:color="auto" w:fill="F2F2F2"/>
          </w:tcPr>
          <w:p w14:paraId="51A355D4" w14:textId="7F81CEA2" w:rsidR="002A7473" w:rsidRPr="00F14046" w:rsidRDefault="00E6057D" w:rsidP="002A7473">
            <w:pPr>
              <w:pStyle w:val="TableText"/>
              <w:rPr>
                <w:szCs w:val="21"/>
              </w:rPr>
            </w:pPr>
            <w:r>
              <w:rPr>
                <w:szCs w:val="21"/>
              </w:rPr>
              <w:t>0</w:t>
            </w:r>
          </w:p>
        </w:tc>
      </w:tr>
      <w:tr w:rsidR="002A7473" w:rsidRPr="00C7687C" w14:paraId="33DD87FC" w14:textId="77777777" w:rsidTr="00215B6D">
        <w:tc>
          <w:tcPr>
            <w:tcW w:w="8175" w:type="dxa"/>
            <w:gridSpan w:val="2"/>
            <w:tcBorders>
              <w:top w:val="single" w:sz="4" w:space="0" w:color="FFFFFF" w:themeColor="background1"/>
              <w:left w:val="nil"/>
              <w:bottom w:val="nil"/>
              <w:right w:val="single" w:sz="4" w:space="0" w:color="FFFFFF" w:themeColor="background1"/>
            </w:tcBorders>
            <w:shd w:val="clear" w:color="auto" w:fill="F2F2F2"/>
            <w:vAlign w:val="center"/>
          </w:tcPr>
          <w:p w14:paraId="36C9C438" w14:textId="77777777" w:rsidR="002A7473" w:rsidRPr="00F14046" w:rsidRDefault="002A7473" w:rsidP="002A7473">
            <w:pPr>
              <w:pStyle w:val="TableText"/>
              <w:rPr>
                <w:rFonts w:eastAsia="Times New Roman"/>
                <w:bCs/>
                <w:szCs w:val="21"/>
              </w:rPr>
            </w:pPr>
            <w:r w:rsidRPr="00F14046">
              <w:rPr>
                <w:rFonts w:eastAsia="Times New Roman"/>
                <w:b/>
                <w:bCs/>
                <w:szCs w:val="21"/>
              </w:rPr>
              <w:t>Total Opportunity Cost (OC) [as applicable, (a, b, c, d, e or f) + (g + h or i)]</w:t>
            </w:r>
          </w:p>
          <w:p w14:paraId="75796811" w14:textId="77777777" w:rsidR="002A7473" w:rsidRPr="00F14046" w:rsidRDefault="002A7473" w:rsidP="002A7473">
            <w:pPr>
              <w:pStyle w:val="TableText"/>
              <w:rPr>
                <w:szCs w:val="21"/>
              </w:rPr>
            </w:pPr>
            <w:r w:rsidRPr="00F14046">
              <w:rPr>
                <w:rFonts w:eastAsia="Times New Roman"/>
                <w:bCs/>
                <w:szCs w:val="21"/>
              </w:rPr>
              <w:t>Total may be less than 0.</w:t>
            </w:r>
          </w:p>
        </w:tc>
        <w:tc>
          <w:tcPr>
            <w:tcW w:w="1257" w:type="dxa"/>
            <w:tcBorders>
              <w:top w:val="single" w:sz="12" w:space="0" w:color="FFFFFF" w:themeColor="background1"/>
              <w:left w:val="single" w:sz="4" w:space="0" w:color="FFFFFF" w:themeColor="background1"/>
              <w:bottom w:val="nil"/>
              <w:right w:val="nil"/>
            </w:tcBorders>
            <w:shd w:val="clear" w:color="auto" w:fill="F2F2F2"/>
          </w:tcPr>
          <w:p w14:paraId="4D9A4F35" w14:textId="31E120CD" w:rsidR="002A7473" w:rsidRPr="00F14046" w:rsidRDefault="00E6057D" w:rsidP="002A7473">
            <w:pPr>
              <w:pStyle w:val="TableText"/>
              <w:rPr>
                <w:b/>
                <w:szCs w:val="21"/>
              </w:rPr>
            </w:pPr>
            <w:r>
              <w:rPr>
                <w:b/>
                <w:szCs w:val="21"/>
              </w:rPr>
              <w:t>0</w:t>
            </w:r>
          </w:p>
        </w:tc>
      </w:tr>
    </w:tbl>
    <w:p w14:paraId="54B69F52" w14:textId="77777777" w:rsidR="002A7473" w:rsidRPr="007F5F05" w:rsidRDefault="002A7473" w:rsidP="002A7473">
      <w:pPr>
        <w:spacing w:after="240" w:line="288" w:lineRule="auto"/>
        <w:rPr>
          <w:rFonts w:ascii="Arial" w:hAnsi="Arial" w:cs="Arial"/>
          <w:b/>
          <w:sz w:val="20"/>
          <w:szCs w:val="20"/>
        </w:rPr>
      </w:pP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8"/>
        <w:gridCol w:w="6256"/>
        <w:gridCol w:w="1586"/>
      </w:tblGrid>
      <w:tr w:rsidR="002A7473" w:rsidRPr="00C7687C" w14:paraId="2524CCD6" w14:textId="77777777" w:rsidTr="00215B6D">
        <w:trPr>
          <w:trHeight w:val="468"/>
        </w:trPr>
        <w:tc>
          <w:tcPr>
            <w:tcW w:w="9404" w:type="dxa"/>
            <w:gridSpan w:val="3"/>
            <w:tcBorders>
              <w:top w:val="nil"/>
              <w:left w:val="nil"/>
              <w:bottom w:val="single" w:sz="4" w:space="0" w:color="FFFFFF" w:themeColor="background1"/>
              <w:right w:val="nil"/>
            </w:tcBorders>
            <w:shd w:val="clear" w:color="auto" w:fill="2B3957" w:themeFill="accent2"/>
          </w:tcPr>
          <w:p w14:paraId="7D0ADF48" w14:textId="77777777" w:rsidR="002A7473" w:rsidRPr="00C7687C" w:rsidRDefault="002A7473" w:rsidP="002A7473">
            <w:pPr>
              <w:pStyle w:val="TableHeader0"/>
              <w:jc w:val="center"/>
            </w:pPr>
            <w:r w:rsidRPr="00C7687C">
              <w:t>Project Longevity</w:t>
            </w:r>
          </w:p>
        </w:tc>
      </w:tr>
      <w:tr w:rsidR="005F3498" w:rsidRPr="00F14046" w14:paraId="0D1A173A" w14:textId="77777777" w:rsidTr="00215B6D">
        <w:trPr>
          <w:trHeight w:val="505"/>
        </w:trPr>
        <w:tc>
          <w:tcPr>
            <w:tcW w:w="846" w:type="dxa"/>
            <w:tcBorders>
              <w:top w:val="single" w:sz="4" w:space="0" w:color="FFFFFF" w:themeColor="background1"/>
              <w:left w:val="nil"/>
              <w:bottom w:val="single" w:sz="4" w:space="0" w:color="FFFFFF" w:themeColor="background1"/>
              <w:right w:val="single" w:sz="4" w:space="0" w:color="FFFFFF" w:themeColor="background1"/>
            </w:tcBorders>
            <w:shd w:val="clear" w:color="auto" w:fill="F2F2F2"/>
          </w:tcPr>
          <w:p w14:paraId="0FD2F501" w14:textId="77777777" w:rsidR="002A7473" w:rsidRPr="00F14046" w:rsidRDefault="002A7473" w:rsidP="002A7473">
            <w:pPr>
              <w:pStyle w:val="TableText"/>
              <w:rPr>
                <w:szCs w:val="21"/>
              </w:rPr>
            </w:pPr>
            <w:r w:rsidRPr="00F14046">
              <w:rPr>
                <w:szCs w:val="21"/>
              </w:rPr>
              <w:t>a)</w:t>
            </w:r>
          </w:p>
        </w:tc>
        <w:tc>
          <w:tcPr>
            <w:tcW w:w="68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14:paraId="2B0DD0E0" w14:textId="3A8FE53B" w:rsidR="002A7473" w:rsidRPr="00F14046" w:rsidRDefault="00E6057D" w:rsidP="002A7473">
            <w:pPr>
              <w:pStyle w:val="TableText"/>
              <w:rPr>
                <w:szCs w:val="21"/>
              </w:rPr>
            </w:pPr>
            <w:r w:rsidRPr="00E6057D">
              <w:rPr>
                <w:szCs w:val="21"/>
              </w:rPr>
              <w:t>The project holds a concession license for the entire project area. This is valid for 25 years and is renewable. Project longevity is determined as 47 years since concession issuance was in 2013 and the project start date is 2016 with a 25 additional period granted after renewal (24-(47/5) = 14.6).</w:t>
            </w:r>
          </w:p>
        </w:tc>
        <w:tc>
          <w:tcPr>
            <w:tcW w:w="1717" w:type="dxa"/>
            <w:tcBorders>
              <w:top w:val="single" w:sz="4" w:space="0" w:color="FFFFFF" w:themeColor="background1"/>
              <w:left w:val="single" w:sz="4" w:space="0" w:color="FFFFFF" w:themeColor="background1"/>
              <w:bottom w:val="single" w:sz="4" w:space="0" w:color="FFFFFF" w:themeColor="background1"/>
              <w:right w:val="nil"/>
            </w:tcBorders>
            <w:shd w:val="clear" w:color="auto" w:fill="F2F2F2"/>
          </w:tcPr>
          <w:p w14:paraId="4C12ECFA" w14:textId="2FEF7151" w:rsidR="002A7473" w:rsidRPr="00F14046" w:rsidRDefault="00E6057D" w:rsidP="002A7473">
            <w:pPr>
              <w:pStyle w:val="TableText"/>
              <w:rPr>
                <w:szCs w:val="21"/>
              </w:rPr>
            </w:pPr>
            <w:r>
              <w:rPr>
                <w:szCs w:val="21"/>
              </w:rPr>
              <w:t>15</w:t>
            </w:r>
          </w:p>
        </w:tc>
      </w:tr>
      <w:tr w:rsidR="005F3498" w:rsidRPr="00F14046" w14:paraId="35E742B3" w14:textId="77777777" w:rsidTr="00215B6D">
        <w:trPr>
          <w:trHeight w:val="505"/>
        </w:trPr>
        <w:tc>
          <w:tcPr>
            <w:tcW w:w="846" w:type="dxa"/>
            <w:tcBorders>
              <w:top w:val="single" w:sz="4" w:space="0" w:color="FFFFFF" w:themeColor="background1"/>
              <w:left w:val="nil"/>
              <w:bottom w:val="single" w:sz="12" w:space="0" w:color="FFFFFF" w:themeColor="background1"/>
              <w:right w:val="single" w:sz="4" w:space="0" w:color="FFFFFF" w:themeColor="background1"/>
            </w:tcBorders>
            <w:shd w:val="clear" w:color="auto" w:fill="F2F2F2"/>
          </w:tcPr>
          <w:p w14:paraId="3CF9CED5" w14:textId="77777777" w:rsidR="002A7473" w:rsidRPr="00F14046" w:rsidRDefault="002A7473" w:rsidP="002A7473">
            <w:pPr>
              <w:pStyle w:val="TableText"/>
              <w:rPr>
                <w:szCs w:val="21"/>
              </w:rPr>
            </w:pPr>
            <w:r w:rsidRPr="00F14046">
              <w:rPr>
                <w:szCs w:val="21"/>
              </w:rPr>
              <w:t>b)</w:t>
            </w:r>
          </w:p>
        </w:tc>
        <w:tc>
          <w:tcPr>
            <w:tcW w:w="6840" w:type="dxa"/>
            <w:tcBorders>
              <w:top w:val="single" w:sz="4" w:space="0" w:color="FFFFFF" w:themeColor="background1"/>
              <w:left w:val="single" w:sz="4" w:space="0" w:color="FFFFFF" w:themeColor="background1"/>
              <w:bottom w:val="single" w:sz="12" w:space="0" w:color="FFFFFF" w:themeColor="background1"/>
              <w:right w:val="single" w:sz="4" w:space="0" w:color="FFFFFF" w:themeColor="background1"/>
            </w:tcBorders>
            <w:shd w:val="clear" w:color="auto" w:fill="F2F2F2"/>
          </w:tcPr>
          <w:p w14:paraId="56809526" w14:textId="182A4103" w:rsidR="002A7473" w:rsidRPr="00F14046" w:rsidRDefault="00E6057D" w:rsidP="002A7473">
            <w:pPr>
              <w:pStyle w:val="TableText"/>
              <w:rPr>
                <w:szCs w:val="21"/>
              </w:rPr>
            </w:pPr>
            <w:r>
              <w:rPr>
                <w:szCs w:val="21"/>
              </w:rPr>
              <w:t>N/A</w:t>
            </w:r>
          </w:p>
        </w:tc>
        <w:tc>
          <w:tcPr>
            <w:tcW w:w="1717" w:type="dxa"/>
            <w:tcBorders>
              <w:top w:val="single" w:sz="4" w:space="0" w:color="FFFFFF" w:themeColor="background1"/>
              <w:left w:val="single" w:sz="4" w:space="0" w:color="FFFFFF" w:themeColor="background1"/>
              <w:bottom w:val="single" w:sz="4" w:space="0" w:color="FFFFFF" w:themeColor="background1"/>
              <w:right w:val="nil"/>
            </w:tcBorders>
            <w:shd w:val="clear" w:color="auto" w:fill="F2F2F2"/>
          </w:tcPr>
          <w:p w14:paraId="1DE6AF7E" w14:textId="0FDB089F" w:rsidR="002A7473" w:rsidRPr="00F14046" w:rsidRDefault="00E6057D" w:rsidP="002A7473">
            <w:pPr>
              <w:pStyle w:val="TableText"/>
              <w:rPr>
                <w:szCs w:val="21"/>
              </w:rPr>
            </w:pPr>
            <w:r>
              <w:rPr>
                <w:szCs w:val="21"/>
              </w:rPr>
              <w:t>0</w:t>
            </w:r>
          </w:p>
        </w:tc>
      </w:tr>
      <w:tr w:rsidR="002A7473" w:rsidRPr="00F14046" w14:paraId="6F06E433" w14:textId="77777777" w:rsidTr="00215B6D">
        <w:trPr>
          <w:trHeight w:val="900"/>
        </w:trPr>
        <w:tc>
          <w:tcPr>
            <w:tcW w:w="7687" w:type="dxa"/>
            <w:gridSpan w:val="2"/>
            <w:tcBorders>
              <w:top w:val="single" w:sz="4" w:space="0" w:color="FFFFFF" w:themeColor="background1"/>
              <w:left w:val="nil"/>
              <w:bottom w:val="nil"/>
              <w:right w:val="single" w:sz="4" w:space="0" w:color="FFFFFF" w:themeColor="background1"/>
            </w:tcBorders>
            <w:shd w:val="clear" w:color="auto" w:fill="F2F2F2"/>
          </w:tcPr>
          <w:p w14:paraId="03F6A346" w14:textId="77777777" w:rsidR="002A7473" w:rsidRPr="00F14046" w:rsidRDefault="002A7473" w:rsidP="002A7473">
            <w:pPr>
              <w:pStyle w:val="TableText"/>
              <w:rPr>
                <w:b/>
                <w:szCs w:val="21"/>
              </w:rPr>
            </w:pPr>
            <w:r w:rsidRPr="00F14046">
              <w:rPr>
                <w:b/>
                <w:szCs w:val="21"/>
              </w:rPr>
              <w:t>Total Project Longevity (PL)</w:t>
            </w:r>
          </w:p>
          <w:p w14:paraId="27E26A88" w14:textId="77777777" w:rsidR="002A7473" w:rsidRPr="00F14046" w:rsidRDefault="002A7473" w:rsidP="002A7473">
            <w:pPr>
              <w:pStyle w:val="TableText"/>
              <w:rPr>
                <w:b/>
                <w:szCs w:val="21"/>
              </w:rPr>
            </w:pPr>
            <w:r w:rsidRPr="00F14046">
              <w:rPr>
                <w:szCs w:val="21"/>
              </w:rPr>
              <w:t>May not be less than zero</w:t>
            </w:r>
          </w:p>
        </w:tc>
        <w:tc>
          <w:tcPr>
            <w:tcW w:w="1717" w:type="dxa"/>
            <w:tcBorders>
              <w:top w:val="single" w:sz="4" w:space="0" w:color="FFFFFF" w:themeColor="background1"/>
              <w:left w:val="single" w:sz="4" w:space="0" w:color="FFFFFF" w:themeColor="background1"/>
              <w:bottom w:val="nil"/>
              <w:right w:val="nil"/>
            </w:tcBorders>
            <w:shd w:val="clear" w:color="auto" w:fill="F2F2F2"/>
          </w:tcPr>
          <w:p w14:paraId="341D9C6E" w14:textId="0212B6AD" w:rsidR="002A7473" w:rsidRPr="00F14046" w:rsidRDefault="00E6057D" w:rsidP="002A7473">
            <w:pPr>
              <w:pStyle w:val="TableText"/>
              <w:rPr>
                <w:b/>
                <w:szCs w:val="21"/>
              </w:rPr>
            </w:pPr>
            <w:r>
              <w:rPr>
                <w:b/>
                <w:szCs w:val="21"/>
              </w:rPr>
              <w:t>15</w:t>
            </w:r>
          </w:p>
        </w:tc>
      </w:tr>
    </w:tbl>
    <w:p w14:paraId="766D7A3A" w14:textId="77777777" w:rsidR="002A7473" w:rsidRPr="00F14046" w:rsidRDefault="002A7473" w:rsidP="002A7473">
      <w:pPr>
        <w:spacing w:after="240" w:line="288" w:lineRule="auto"/>
        <w:rPr>
          <w:rFonts w:ascii="Arial" w:hAnsi="Arial" w:cs="Arial"/>
          <w:b/>
          <w:szCs w:val="21"/>
        </w:rPr>
      </w:pPr>
    </w:p>
    <w:tbl>
      <w:tblPr>
        <w:tblW w:w="8640" w:type="dxa"/>
        <w:tblInd w:w="720" w:type="dxa"/>
        <w:tblBorders>
          <w:insideH w:val="single" w:sz="4" w:space="0" w:color="FFFFFF" w:themeColor="background1"/>
          <w:insideV w:val="single" w:sz="4" w:space="0" w:color="FFFFFF" w:themeColor="background1"/>
        </w:tblBorders>
        <w:tblCellMar>
          <w:left w:w="115" w:type="dxa"/>
          <w:right w:w="115" w:type="dxa"/>
        </w:tblCellMar>
        <w:tblLook w:val="04A0" w:firstRow="1" w:lastRow="0" w:firstColumn="1" w:lastColumn="0" w:noHBand="0" w:noVBand="1"/>
      </w:tblPr>
      <w:tblGrid>
        <w:gridCol w:w="6269"/>
        <w:gridCol w:w="2371"/>
      </w:tblGrid>
      <w:tr w:rsidR="002A7473" w:rsidRPr="00F14046" w14:paraId="7BF28C74" w14:textId="77777777" w:rsidTr="00215B6D">
        <w:trPr>
          <w:trHeight w:val="509"/>
        </w:trPr>
        <w:tc>
          <w:tcPr>
            <w:tcW w:w="9404" w:type="dxa"/>
            <w:gridSpan w:val="2"/>
            <w:shd w:val="clear" w:color="auto" w:fill="2B3957" w:themeFill="accent2"/>
            <w:vAlign w:val="bottom"/>
          </w:tcPr>
          <w:p w14:paraId="60F6ED18" w14:textId="77777777" w:rsidR="002A7473" w:rsidRPr="00F14046" w:rsidRDefault="002A7473" w:rsidP="002A7473">
            <w:pPr>
              <w:pStyle w:val="TableHeader0"/>
              <w:jc w:val="center"/>
              <w:rPr>
                <w:rFonts w:eastAsia="MS Mincho"/>
                <w:szCs w:val="21"/>
              </w:rPr>
            </w:pPr>
            <w:r w:rsidRPr="00F14046">
              <w:rPr>
                <w:szCs w:val="21"/>
              </w:rPr>
              <w:t>Internal Risk</w:t>
            </w:r>
          </w:p>
        </w:tc>
      </w:tr>
      <w:tr w:rsidR="002A7473" w:rsidRPr="00F14046" w14:paraId="34F5B3A7" w14:textId="77777777" w:rsidTr="00215B6D">
        <w:trPr>
          <w:trHeight w:val="480"/>
        </w:trPr>
        <w:tc>
          <w:tcPr>
            <w:tcW w:w="6833" w:type="dxa"/>
            <w:shd w:val="clear" w:color="auto" w:fill="F2F2F2"/>
            <w:vAlign w:val="bottom"/>
          </w:tcPr>
          <w:p w14:paraId="23033D12" w14:textId="77777777" w:rsidR="002A7473" w:rsidRPr="00F14046" w:rsidRDefault="002A7473" w:rsidP="002A7473">
            <w:pPr>
              <w:pStyle w:val="TableText"/>
              <w:rPr>
                <w:szCs w:val="21"/>
              </w:rPr>
            </w:pPr>
            <w:r w:rsidRPr="00F14046">
              <w:rPr>
                <w:b/>
                <w:szCs w:val="21"/>
              </w:rPr>
              <w:t xml:space="preserve">Total Internal Risk (PM + FV + OC + PL) </w:t>
            </w:r>
          </w:p>
          <w:p w14:paraId="4E4AA9FD" w14:textId="77777777" w:rsidR="002A7473" w:rsidRPr="00F14046" w:rsidRDefault="002A7473" w:rsidP="002A7473">
            <w:pPr>
              <w:pStyle w:val="TableText"/>
              <w:rPr>
                <w:rFonts w:eastAsia="MS Mincho"/>
                <w:szCs w:val="21"/>
                <w:lang w:eastAsia="ja-JP"/>
              </w:rPr>
            </w:pPr>
            <w:r w:rsidRPr="00F14046">
              <w:rPr>
                <w:szCs w:val="21"/>
              </w:rPr>
              <w:t>Total may not be less than zero.</w:t>
            </w:r>
          </w:p>
        </w:tc>
        <w:tc>
          <w:tcPr>
            <w:tcW w:w="2571" w:type="dxa"/>
            <w:shd w:val="clear" w:color="auto" w:fill="F2F2F2"/>
            <w:vAlign w:val="center"/>
          </w:tcPr>
          <w:p w14:paraId="21682F92" w14:textId="3F60102C" w:rsidR="002A7473" w:rsidRPr="00F14046" w:rsidRDefault="00BD0017" w:rsidP="002A7473">
            <w:pPr>
              <w:pStyle w:val="TableText"/>
              <w:rPr>
                <w:rFonts w:eastAsia="MS Mincho"/>
                <w:b/>
                <w:szCs w:val="21"/>
                <w:lang w:eastAsia="ja-JP"/>
              </w:rPr>
            </w:pPr>
            <w:r>
              <w:rPr>
                <w:rFonts w:eastAsia="MS Mincho"/>
                <w:b/>
                <w:szCs w:val="21"/>
                <w:lang w:eastAsia="ja-JP"/>
              </w:rPr>
              <w:t>11</w:t>
            </w:r>
          </w:p>
        </w:tc>
      </w:tr>
    </w:tbl>
    <w:p w14:paraId="2CE90A6D" w14:textId="77777777" w:rsidR="002A7473" w:rsidRPr="002A7473" w:rsidRDefault="002A7473" w:rsidP="002A7473"/>
    <w:p w14:paraId="376B8802" w14:textId="5B221A59" w:rsidR="00576A41" w:rsidRDefault="002A7473" w:rsidP="002A7473">
      <w:pPr>
        <w:pStyle w:val="Heading1"/>
      </w:pPr>
      <w:bookmarkStart w:id="12" w:name="_Toc19445292"/>
      <w:r>
        <w:t>External Risks</w:t>
      </w:r>
      <w:bookmarkEnd w:id="12"/>
    </w:p>
    <w:p w14:paraId="30D6FA08" w14:textId="77777777" w:rsidR="002A7473" w:rsidRPr="00215B6D" w:rsidRDefault="002A7473" w:rsidP="00215B6D">
      <w:pPr>
        <w:pStyle w:val="Instruction"/>
      </w:pPr>
      <w:r w:rsidRPr="00215B6D">
        <w:t>Document and substantiate the risk and/or mitigation for each risk factor applicable to the project. Include any relevant documentary evidence. Where a risk or mitigation is not relevant to the project, please write “Not applicable”.</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2"/>
        <w:gridCol w:w="6646"/>
        <w:gridCol w:w="1202"/>
      </w:tblGrid>
      <w:tr w:rsidR="002A7473" w:rsidRPr="00C7687C" w14:paraId="47223BA5" w14:textId="77777777" w:rsidTr="00215B6D">
        <w:tc>
          <w:tcPr>
            <w:tcW w:w="9432" w:type="dxa"/>
            <w:gridSpan w:val="3"/>
            <w:tcBorders>
              <w:top w:val="nil"/>
              <w:left w:val="nil"/>
              <w:bottom w:val="single" w:sz="4" w:space="0" w:color="FFFFFF" w:themeColor="background1"/>
              <w:right w:val="nil"/>
            </w:tcBorders>
            <w:shd w:val="clear" w:color="auto" w:fill="2B3957" w:themeFill="accent2"/>
          </w:tcPr>
          <w:p w14:paraId="5A8F50F9" w14:textId="77777777" w:rsidR="002A7473" w:rsidRPr="00C7687C" w:rsidRDefault="002A7473" w:rsidP="00F14046">
            <w:pPr>
              <w:pStyle w:val="TableHeader0"/>
              <w:jc w:val="center"/>
            </w:pPr>
            <w:r w:rsidRPr="00C7687C">
              <w:t xml:space="preserve">Land </w:t>
            </w:r>
            <w:r>
              <w:t>Tenure</w:t>
            </w:r>
            <w:r w:rsidRPr="00C7687C">
              <w:t xml:space="preserve"> and Resource Access/</w:t>
            </w:r>
            <w:r>
              <w:t>Impacts</w:t>
            </w:r>
          </w:p>
        </w:tc>
      </w:tr>
      <w:tr w:rsidR="002A7473" w:rsidRPr="00C7687C" w14:paraId="7F899F62" w14:textId="77777777" w:rsidTr="00215B6D">
        <w:tc>
          <w:tcPr>
            <w:tcW w:w="504" w:type="dxa"/>
            <w:tcBorders>
              <w:top w:val="single" w:sz="4" w:space="0" w:color="FFFFFF" w:themeColor="background1"/>
              <w:left w:val="nil"/>
              <w:bottom w:val="single" w:sz="4" w:space="0" w:color="FFFFFF" w:themeColor="background1"/>
              <w:right w:val="single" w:sz="4" w:space="0" w:color="FFFFFF" w:themeColor="background1"/>
            </w:tcBorders>
            <w:shd w:val="clear" w:color="auto" w:fill="2B3957" w:themeFill="accent2"/>
          </w:tcPr>
          <w:p w14:paraId="075704F5" w14:textId="77777777" w:rsidR="002A7473" w:rsidRPr="00C7687C" w:rsidRDefault="002A7473" w:rsidP="00F14046">
            <w:pPr>
              <w:pStyle w:val="TableHeader0"/>
            </w:pPr>
            <w:r w:rsidRPr="00C7687C">
              <w:lastRenderedPageBreak/>
              <w:t>Risk Factor</w:t>
            </w:r>
          </w:p>
        </w:tc>
        <w:tc>
          <w:tcPr>
            <w:tcW w:w="76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3957" w:themeFill="accent2"/>
          </w:tcPr>
          <w:p w14:paraId="3065E094" w14:textId="77777777" w:rsidR="002A7473" w:rsidRPr="00C7687C" w:rsidRDefault="002A7473" w:rsidP="00F14046">
            <w:pPr>
              <w:pStyle w:val="TableHeader0"/>
              <w:jc w:val="center"/>
            </w:pPr>
            <w:r w:rsidRPr="00C7687C">
              <w:t>Risk Factor and/or Mitigation Description</w:t>
            </w:r>
          </w:p>
        </w:tc>
        <w:tc>
          <w:tcPr>
            <w:tcW w:w="1278" w:type="dxa"/>
            <w:tcBorders>
              <w:top w:val="single" w:sz="4" w:space="0" w:color="FFFFFF" w:themeColor="background1"/>
              <w:left w:val="single" w:sz="4" w:space="0" w:color="FFFFFF" w:themeColor="background1"/>
              <w:bottom w:val="single" w:sz="4" w:space="0" w:color="FFFFFF" w:themeColor="background1"/>
              <w:right w:val="nil"/>
            </w:tcBorders>
            <w:shd w:val="clear" w:color="auto" w:fill="2B3957" w:themeFill="accent2"/>
          </w:tcPr>
          <w:p w14:paraId="4F6562BC" w14:textId="77777777" w:rsidR="002A7473" w:rsidRPr="00C7687C" w:rsidRDefault="002A7473" w:rsidP="00F14046">
            <w:pPr>
              <w:pStyle w:val="TableHeader0"/>
            </w:pPr>
            <w:r w:rsidRPr="00C7687C">
              <w:t>Risk Rating</w:t>
            </w:r>
          </w:p>
        </w:tc>
      </w:tr>
      <w:tr w:rsidR="002A7473" w:rsidRPr="00C7687C" w14:paraId="3AB5B6BC" w14:textId="77777777" w:rsidTr="00215B6D">
        <w:tc>
          <w:tcPr>
            <w:tcW w:w="504" w:type="dxa"/>
            <w:tcBorders>
              <w:top w:val="single" w:sz="4" w:space="0" w:color="FFFFFF" w:themeColor="background1"/>
              <w:left w:val="nil"/>
              <w:bottom w:val="single" w:sz="4" w:space="0" w:color="FFFFFF" w:themeColor="background1"/>
              <w:right w:val="single" w:sz="4" w:space="0" w:color="FFFFFF" w:themeColor="background1"/>
            </w:tcBorders>
            <w:shd w:val="clear" w:color="auto" w:fill="F2F2F2"/>
          </w:tcPr>
          <w:p w14:paraId="5DB471AE" w14:textId="77777777" w:rsidR="002A7473" w:rsidRPr="00F14046" w:rsidRDefault="002A7473" w:rsidP="00F14046">
            <w:pPr>
              <w:pStyle w:val="TableText"/>
              <w:rPr>
                <w:szCs w:val="21"/>
              </w:rPr>
            </w:pPr>
            <w:r w:rsidRPr="00F14046">
              <w:rPr>
                <w:szCs w:val="21"/>
              </w:rPr>
              <w:t>a)</w:t>
            </w:r>
          </w:p>
        </w:tc>
        <w:tc>
          <w:tcPr>
            <w:tcW w:w="76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14:paraId="6E79FC72" w14:textId="15C5F2DE" w:rsidR="002A7473" w:rsidRPr="00F14046" w:rsidRDefault="00BD0017" w:rsidP="00F14046">
            <w:pPr>
              <w:pStyle w:val="TableText"/>
              <w:rPr>
                <w:szCs w:val="21"/>
              </w:rPr>
            </w:pPr>
            <w:r>
              <w:rPr>
                <w:szCs w:val="21"/>
              </w:rPr>
              <w:t>N/A</w:t>
            </w:r>
          </w:p>
        </w:tc>
        <w:tc>
          <w:tcPr>
            <w:tcW w:w="1278" w:type="dxa"/>
            <w:tcBorders>
              <w:top w:val="single" w:sz="4" w:space="0" w:color="FFFFFF" w:themeColor="background1"/>
              <w:left w:val="single" w:sz="4" w:space="0" w:color="FFFFFF" w:themeColor="background1"/>
              <w:bottom w:val="single" w:sz="4" w:space="0" w:color="FFFFFF" w:themeColor="background1"/>
              <w:right w:val="nil"/>
            </w:tcBorders>
            <w:shd w:val="clear" w:color="auto" w:fill="F2F2F2"/>
          </w:tcPr>
          <w:p w14:paraId="58D69241" w14:textId="6359310A" w:rsidR="002A7473" w:rsidRPr="00B15582" w:rsidRDefault="00BD0017" w:rsidP="00F14046">
            <w:pPr>
              <w:pStyle w:val="TableText"/>
              <w:rPr>
                <w:sz w:val="20"/>
                <w:szCs w:val="20"/>
              </w:rPr>
            </w:pPr>
            <w:r>
              <w:rPr>
                <w:sz w:val="20"/>
                <w:szCs w:val="20"/>
              </w:rPr>
              <w:t>0</w:t>
            </w:r>
          </w:p>
        </w:tc>
      </w:tr>
      <w:tr w:rsidR="002A7473" w:rsidRPr="00C7687C" w14:paraId="4581B732" w14:textId="77777777" w:rsidTr="00215B6D">
        <w:tc>
          <w:tcPr>
            <w:tcW w:w="504" w:type="dxa"/>
            <w:tcBorders>
              <w:top w:val="single" w:sz="4" w:space="0" w:color="FFFFFF" w:themeColor="background1"/>
              <w:left w:val="nil"/>
              <w:bottom w:val="single" w:sz="4" w:space="0" w:color="FFFFFF" w:themeColor="background1"/>
              <w:right w:val="single" w:sz="4" w:space="0" w:color="FFFFFF" w:themeColor="background1"/>
            </w:tcBorders>
            <w:shd w:val="clear" w:color="auto" w:fill="F2F2F2"/>
          </w:tcPr>
          <w:p w14:paraId="68300C15" w14:textId="77777777" w:rsidR="002A7473" w:rsidRPr="00F14046" w:rsidRDefault="002A7473" w:rsidP="00F14046">
            <w:pPr>
              <w:pStyle w:val="TableText"/>
              <w:rPr>
                <w:szCs w:val="21"/>
              </w:rPr>
            </w:pPr>
            <w:r w:rsidRPr="00F14046">
              <w:rPr>
                <w:szCs w:val="21"/>
              </w:rPr>
              <w:t>b)</w:t>
            </w:r>
          </w:p>
        </w:tc>
        <w:tc>
          <w:tcPr>
            <w:tcW w:w="76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14:paraId="164C6DE7" w14:textId="5C9D33DB" w:rsidR="002A7473" w:rsidRPr="00F14046" w:rsidRDefault="000B5762" w:rsidP="00F14046">
            <w:pPr>
              <w:pStyle w:val="TableText"/>
              <w:rPr>
                <w:szCs w:val="21"/>
              </w:rPr>
            </w:pPr>
            <w:r w:rsidRPr="00F3712D">
              <w:rPr>
                <w:noProof/>
                <w:szCs w:val="20"/>
              </w:rPr>
              <w:t>The land ownership and resource access/use rights are held by different entities as the land is owned by the government with the project having right of use.</w:t>
            </w:r>
          </w:p>
        </w:tc>
        <w:tc>
          <w:tcPr>
            <w:tcW w:w="1278" w:type="dxa"/>
            <w:tcBorders>
              <w:top w:val="single" w:sz="4" w:space="0" w:color="FFFFFF" w:themeColor="background1"/>
              <w:left w:val="single" w:sz="4" w:space="0" w:color="FFFFFF" w:themeColor="background1"/>
              <w:bottom w:val="single" w:sz="4" w:space="0" w:color="FFFFFF" w:themeColor="background1"/>
              <w:right w:val="nil"/>
            </w:tcBorders>
            <w:shd w:val="clear" w:color="auto" w:fill="F2F2F2"/>
          </w:tcPr>
          <w:p w14:paraId="0D20FC74" w14:textId="6FBB2A4A" w:rsidR="002A7473" w:rsidRPr="00B15582" w:rsidRDefault="00BD0017" w:rsidP="00F14046">
            <w:pPr>
              <w:pStyle w:val="TableText"/>
              <w:rPr>
                <w:sz w:val="20"/>
                <w:szCs w:val="20"/>
              </w:rPr>
            </w:pPr>
            <w:r>
              <w:rPr>
                <w:sz w:val="20"/>
                <w:szCs w:val="20"/>
              </w:rPr>
              <w:t>2</w:t>
            </w:r>
          </w:p>
        </w:tc>
      </w:tr>
      <w:tr w:rsidR="002A7473" w:rsidRPr="00C7687C" w14:paraId="4EE21CF6" w14:textId="77777777" w:rsidTr="00215B6D">
        <w:tc>
          <w:tcPr>
            <w:tcW w:w="504" w:type="dxa"/>
            <w:tcBorders>
              <w:top w:val="single" w:sz="4" w:space="0" w:color="FFFFFF" w:themeColor="background1"/>
              <w:left w:val="nil"/>
              <w:bottom w:val="single" w:sz="4" w:space="0" w:color="FFFFFF" w:themeColor="background1"/>
              <w:right w:val="single" w:sz="4" w:space="0" w:color="FFFFFF" w:themeColor="background1"/>
            </w:tcBorders>
            <w:shd w:val="clear" w:color="auto" w:fill="F2F2F2"/>
          </w:tcPr>
          <w:p w14:paraId="1C5DD6D4" w14:textId="77777777" w:rsidR="002A7473" w:rsidRPr="00F14046" w:rsidRDefault="002A7473" w:rsidP="00F14046">
            <w:pPr>
              <w:pStyle w:val="TableText"/>
              <w:rPr>
                <w:szCs w:val="21"/>
              </w:rPr>
            </w:pPr>
            <w:r w:rsidRPr="00F14046">
              <w:rPr>
                <w:szCs w:val="21"/>
              </w:rPr>
              <w:t>c)</w:t>
            </w:r>
          </w:p>
        </w:tc>
        <w:tc>
          <w:tcPr>
            <w:tcW w:w="76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14:paraId="57073870" w14:textId="77F456E8" w:rsidR="002A7473" w:rsidRPr="00F14046" w:rsidRDefault="000B5762" w:rsidP="00F14046">
            <w:pPr>
              <w:pStyle w:val="TableText"/>
              <w:rPr>
                <w:szCs w:val="21"/>
              </w:rPr>
            </w:pPr>
            <w:r w:rsidRPr="00F3712D">
              <w:rPr>
                <w:noProof/>
                <w:szCs w:val="20"/>
              </w:rPr>
              <w:t xml:space="preserve">No disputes exist over the project area. There are two farmers that cover </w:t>
            </w:r>
            <w:r w:rsidRPr="00F3712D">
              <w:rPr>
                <w:noProof/>
                <w:color w:val="000000"/>
                <w:szCs w:val="20"/>
              </w:rPr>
              <w:t xml:space="preserve">12 </w:t>
            </w:r>
            <w:r w:rsidRPr="00F3712D">
              <w:rPr>
                <w:noProof/>
                <w:szCs w:val="20"/>
              </w:rPr>
              <w:t>ha of land inside the project’s license area. This area has been excluded from the official project area. The project has engaged with these farmers and the farmers have signed an agreement letter that acknowledges their farms and they agree not to expand their farms.</w:t>
            </w:r>
          </w:p>
        </w:tc>
        <w:tc>
          <w:tcPr>
            <w:tcW w:w="1278" w:type="dxa"/>
            <w:tcBorders>
              <w:top w:val="single" w:sz="4" w:space="0" w:color="FFFFFF" w:themeColor="background1"/>
              <w:left w:val="single" w:sz="4" w:space="0" w:color="FFFFFF" w:themeColor="background1"/>
              <w:bottom w:val="single" w:sz="4" w:space="0" w:color="FFFFFF" w:themeColor="background1"/>
              <w:right w:val="nil"/>
            </w:tcBorders>
            <w:shd w:val="clear" w:color="auto" w:fill="F2F2F2"/>
          </w:tcPr>
          <w:p w14:paraId="4B0D0E15" w14:textId="7A525B08" w:rsidR="002A7473" w:rsidRPr="00B15582" w:rsidRDefault="00BD0017" w:rsidP="00F14046">
            <w:pPr>
              <w:pStyle w:val="TableText"/>
              <w:rPr>
                <w:sz w:val="20"/>
                <w:szCs w:val="20"/>
              </w:rPr>
            </w:pPr>
            <w:r>
              <w:rPr>
                <w:sz w:val="20"/>
                <w:szCs w:val="20"/>
              </w:rPr>
              <w:t>0</w:t>
            </w:r>
          </w:p>
        </w:tc>
      </w:tr>
      <w:tr w:rsidR="002A7473" w:rsidRPr="00C7687C" w14:paraId="3F5F3E91" w14:textId="77777777" w:rsidTr="00215B6D">
        <w:tc>
          <w:tcPr>
            <w:tcW w:w="504" w:type="dxa"/>
            <w:tcBorders>
              <w:top w:val="single" w:sz="4" w:space="0" w:color="FFFFFF" w:themeColor="background1"/>
              <w:left w:val="nil"/>
              <w:bottom w:val="single" w:sz="4" w:space="0" w:color="FFFFFF" w:themeColor="background1"/>
              <w:right w:val="single" w:sz="4" w:space="0" w:color="FFFFFF" w:themeColor="background1"/>
            </w:tcBorders>
            <w:shd w:val="clear" w:color="auto" w:fill="F2F2F2"/>
          </w:tcPr>
          <w:p w14:paraId="537DE155" w14:textId="77777777" w:rsidR="002A7473" w:rsidRPr="00F14046" w:rsidRDefault="002A7473" w:rsidP="00F14046">
            <w:pPr>
              <w:pStyle w:val="TableText"/>
              <w:rPr>
                <w:szCs w:val="21"/>
              </w:rPr>
            </w:pPr>
            <w:r w:rsidRPr="00F14046">
              <w:rPr>
                <w:szCs w:val="21"/>
              </w:rPr>
              <w:t>d)</w:t>
            </w:r>
          </w:p>
        </w:tc>
        <w:tc>
          <w:tcPr>
            <w:tcW w:w="76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14:paraId="1F3A5D29" w14:textId="0715E8C9" w:rsidR="002A7473" w:rsidRPr="000B5762" w:rsidRDefault="000B5762" w:rsidP="00F14046">
            <w:pPr>
              <w:pStyle w:val="TableText"/>
              <w:rPr>
                <w:iCs/>
                <w:szCs w:val="21"/>
              </w:rPr>
            </w:pPr>
            <w:r w:rsidRPr="00F3712D">
              <w:rPr>
                <w:iCs/>
                <w:noProof/>
                <w:szCs w:val="20"/>
              </w:rPr>
              <w:t>No disputes exist over access or use rights.</w:t>
            </w:r>
          </w:p>
        </w:tc>
        <w:tc>
          <w:tcPr>
            <w:tcW w:w="1278" w:type="dxa"/>
            <w:tcBorders>
              <w:top w:val="single" w:sz="4" w:space="0" w:color="FFFFFF" w:themeColor="background1"/>
              <w:left w:val="single" w:sz="4" w:space="0" w:color="FFFFFF" w:themeColor="background1"/>
              <w:bottom w:val="single" w:sz="4" w:space="0" w:color="FFFFFF" w:themeColor="background1"/>
              <w:right w:val="nil"/>
            </w:tcBorders>
            <w:shd w:val="clear" w:color="auto" w:fill="F2F2F2"/>
          </w:tcPr>
          <w:p w14:paraId="1D14BB39" w14:textId="447B2F60" w:rsidR="002A7473" w:rsidRPr="00B15582" w:rsidRDefault="00BD0017" w:rsidP="00F14046">
            <w:pPr>
              <w:pStyle w:val="TableText"/>
              <w:rPr>
                <w:sz w:val="20"/>
                <w:szCs w:val="20"/>
              </w:rPr>
            </w:pPr>
            <w:r>
              <w:rPr>
                <w:sz w:val="20"/>
                <w:szCs w:val="20"/>
              </w:rPr>
              <w:t>0</w:t>
            </w:r>
          </w:p>
        </w:tc>
      </w:tr>
      <w:tr w:rsidR="002A7473" w:rsidRPr="00C7687C" w14:paraId="4F5948AD" w14:textId="77777777" w:rsidTr="00215B6D">
        <w:tc>
          <w:tcPr>
            <w:tcW w:w="504" w:type="dxa"/>
            <w:tcBorders>
              <w:top w:val="single" w:sz="4" w:space="0" w:color="FFFFFF" w:themeColor="background1"/>
              <w:left w:val="nil"/>
              <w:bottom w:val="single" w:sz="4" w:space="0" w:color="FFFFFF" w:themeColor="background1"/>
              <w:right w:val="single" w:sz="4" w:space="0" w:color="FFFFFF" w:themeColor="background1"/>
            </w:tcBorders>
            <w:shd w:val="clear" w:color="auto" w:fill="F2F2F2"/>
          </w:tcPr>
          <w:p w14:paraId="43F017BE" w14:textId="77777777" w:rsidR="002A7473" w:rsidRPr="00F14046" w:rsidRDefault="002A7473" w:rsidP="00F14046">
            <w:pPr>
              <w:pStyle w:val="TableText"/>
              <w:rPr>
                <w:szCs w:val="21"/>
              </w:rPr>
            </w:pPr>
            <w:r w:rsidRPr="00F14046">
              <w:rPr>
                <w:szCs w:val="21"/>
              </w:rPr>
              <w:t>e)</w:t>
            </w:r>
          </w:p>
        </w:tc>
        <w:tc>
          <w:tcPr>
            <w:tcW w:w="76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14:paraId="6CCBB068" w14:textId="625AEA95" w:rsidR="002A7473" w:rsidRPr="00F14046" w:rsidRDefault="000B5762" w:rsidP="00F14046">
            <w:pPr>
              <w:pStyle w:val="TableText"/>
              <w:rPr>
                <w:szCs w:val="21"/>
              </w:rPr>
            </w:pPr>
            <w:r w:rsidRPr="000B5762">
              <w:rPr>
                <w:szCs w:val="21"/>
              </w:rPr>
              <w:t>The project site is roughly 30km away from the sea and hence there are no expected impacts by the sea level. In terms of upstream impacts, the project’s protected peat dome has its highest elevation inside the project area and hence there are no expected upstream impacts.</w:t>
            </w:r>
          </w:p>
        </w:tc>
        <w:tc>
          <w:tcPr>
            <w:tcW w:w="1278" w:type="dxa"/>
            <w:tcBorders>
              <w:top w:val="single" w:sz="4" w:space="0" w:color="FFFFFF" w:themeColor="background1"/>
              <w:left w:val="single" w:sz="4" w:space="0" w:color="FFFFFF" w:themeColor="background1"/>
              <w:bottom w:val="single" w:sz="4" w:space="0" w:color="FFFFFF" w:themeColor="background1"/>
              <w:right w:val="nil"/>
            </w:tcBorders>
            <w:shd w:val="clear" w:color="auto" w:fill="F2F2F2"/>
          </w:tcPr>
          <w:p w14:paraId="5D3B848F" w14:textId="44D55E40" w:rsidR="002A7473" w:rsidRPr="00B15582" w:rsidRDefault="00BD0017" w:rsidP="00F14046">
            <w:pPr>
              <w:pStyle w:val="TableText"/>
              <w:rPr>
                <w:sz w:val="20"/>
                <w:szCs w:val="20"/>
              </w:rPr>
            </w:pPr>
            <w:r>
              <w:rPr>
                <w:sz w:val="20"/>
                <w:szCs w:val="20"/>
              </w:rPr>
              <w:t>0</w:t>
            </w:r>
          </w:p>
        </w:tc>
      </w:tr>
      <w:tr w:rsidR="002A7473" w:rsidRPr="00C7687C" w14:paraId="118D1815" w14:textId="77777777" w:rsidTr="00215B6D">
        <w:tc>
          <w:tcPr>
            <w:tcW w:w="504" w:type="dxa"/>
            <w:tcBorders>
              <w:top w:val="single" w:sz="4" w:space="0" w:color="FFFFFF" w:themeColor="background1"/>
              <w:left w:val="nil"/>
              <w:bottom w:val="single" w:sz="4" w:space="0" w:color="FFFFFF" w:themeColor="background1"/>
              <w:right w:val="single" w:sz="4" w:space="0" w:color="FFFFFF" w:themeColor="background1"/>
            </w:tcBorders>
            <w:shd w:val="clear" w:color="auto" w:fill="F2F2F2"/>
          </w:tcPr>
          <w:p w14:paraId="2F45EFD0" w14:textId="77777777" w:rsidR="002A7473" w:rsidRPr="00F14046" w:rsidRDefault="002A7473" w:rsidP="00F14046">
            <w:pPr>
              <w:pStyle w:val="TableText"/>
              <w:rPr>
                <w:szCs w:val="21"/>
              </w:rPr>
            </w:pPr>
            <w:r w:rsidRPr="00F14046">
              <w:rPr>
                <w:szCs w:val="21"/>
              </w:rPr>
              <w:t>f)</w:t>
            </w:r>
          </w:p>
        </w:tc>
        <w:tc>
          <w:tcPr>
            <w:tcW w:w="76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14:paraId="290DC5AC" w14:textId="52794C32" w:rsidR="002A7473" w:rsidRPr="00F14046" w:rsidRDefault="000B5762" w:rsidP="00F14046">
            <w:pPr>
              <w:pStyle w:val="TableText"/>
              <w:rPr>
                <w:szCs w:val="21"/>
              </w:rPr>
            </w:pPr>
            <w:r>
              <w:rPr>
                <w:szCs w:val="21"/>
              </w:rPr>
              <w:t>N/A</w:t>
            </w:r>
          </w:p>
        </w:tc>
        <w:tc>
          <w:tcPr>
            <w:tcW w:w="1278" w:type="dxa"/>
            <w:tcBorders>
              <w:top w:val="single" w:sz="4" w:space="0" w:color="FFFFFF" w:themeColor="background1"/>
              <w:left w:val="single" w:sz="4" w:space="0" w:color="FFFFFF" w:themeColor="background1"/>
              <w:bottom w:val="single" w:sz="4" w:space="0" w:color="FFFFFF" w:themeColor="background1"/>
              <w:right w:val="nil"/>
            </w:tcBorders>
            <w:shd w:val="clear" w:color="auto" w:fill="F2F2F2"/>
          </w:tcPr>
          <w:p w14:paraId="1065196D" w14:textId="488D9810" w:rsidR="002A7473" w:rsidRPr="00B15582" w:rsidRDefault="00BD0017" w:rsidP="00F14046">
            <w:pPr>
              <w:pStyle w:val="TableText"/>
              <w:rPr>
                <w:sz w:val="20"/>
                <w:szCs w:val="20"/>
              </w:rPr>
            </w:pPr>
            <w:r>
              <w:rPr>
                <w:sz w:val="20"/>
                <w:szCs w:val="20"/>
              </w:rPr>
              <w:t>0</w:t>
            </w:r>
          </w:p>
        </w:tc>
      </w:tr>
      <w:tr w:rsidR="002A7473" w:rsidRPr="00C7687C" w14:paraId="3D431390" w14:textId="77777777" w:rsidTr="00215B6D">
        <w:tc>
          <w:tcPr>
            <w:tcW w:w="504" w:type="dxa"/>
            <w:tcBorders>
              <w:top w:val="single" w:sz="4" w:space="0" w:color="FFFFFF" w:themeColor="background1"/>
              <w:left w:val="nil"/>
              <w:bottom w:val="single" w:sz="12" w:space="0" w:color="FFFFFF" w:themeColor="background1"/>
              <w:right w:val="single" w:sz="4" w:space="0" w:color="FFFFFF" w:themeColor="background1"/>
            </w:tcBorders>
            <w:shd w:val="clear" w:color="auto" w:fill="F2F2F2"/>
          </w:tcPr>
          <w:p w14:paraId="6CE19AEB" w14:textId="77777777" w:rsidR="002A7473" w:rsidRPr="00F14046" w:rsidRDefault="002A7473" w:rsidP="00F14046">
            <w:pPr>
              <w:pStyle w:val="TableText"/>
              <w:rPr>
                <w:szCs w:val="21"/>
              </w:rPr>
            </w:pPr>
            <w:r w:rsidRPr="00F14046">
              <w:rPr>
                <w:szCs w:val="21"/>
              </w:rPr>
              <w:t>g)</w:t>
            </w:r>
          </w:p>
        </w:tc>
        <w:tc>
          <w:tcPr>
            <w:tcW w:w="7650" w:type="dxa"/>
            <w:tcBorders>
              <w:top w:val="single" w:sz="4" w:space="0" w:color="FFFFFF" w:themeColor="background1"/>
              <w:left w:val="single" w:sz="4" w:space="0" w:color="FFFFFF" w:themeColor="background1"/>
              <w:bottom w:val="single" w:sz="12" w:space="0" w:color="FFFFFF" w:themeColor="background1"/>
              <w:right w:val="single" w:sz="4" w:space="0" w:color="FFFFFF" w:themeColor="background1"/>
            </w:tcBorders>
            <w:shd w:val="clear" w:color="auto" w:fill="F2F2F2"/>
          </w:tcPr>
          <w:p w14:paraId="2601198A" w14:textId="334D2597" w:rsidR="002A7473" w:rsidRPr="00F14046" w:rsidRDefault="000B5762" w:rsidP="00F14046">
            <w:pPr>
              <w:pStyle w:val="TableText"/>
              <w:rPr>
                <w:szCs w:val="21"/>
              </w:rPr>
            </w:pPr>
            <w:r>
              <w:rPr>
                <w:szCs w:val="21"/>
              </w:rPr>
              <w:t>N/A</w:t>
            </w:r>
          </w:p>
        </w:tc>
        <w:tc>
          <w:tcPr>
            <w:tcW w:w="1278" w:type="dxa"/>
            <w:tcBorders>
              <w:top w:val="single" w:sz="4" w:space="0" w:color="FFFFFF" w:themeColor="background1"/>
              <w:left w:val="single" w:sz="4" w:space="0" w:color="FFFFFF" w:themeColor="background1"/>
              <w:bottom w:val="single" w:sz="12" w:space="0" w:color="FFFFFF" w:themeColor="background1"/>
              <w:right w:val="nil"/>
            </w:tcBorders>
            <w:shd w:val="clear" w:color="auto" w:fill="F2F2F2"/>
          </w:tcPr>
          <w:p w14:paraId="133D99D4" w14:textId="7B0F7D58" w:rsidR="002A7473" w:rsidRPr="00B15582" w:rsidRDefault="00BD0017" w:rsidP="00F14046">
            <w:pPr>
              <w:pStyle w:val="TableText"/>
              <w:rPr>
                <w:sz w:val="20"/>
                <w:szCs w:val="20"/>
              </w:rPr>
            </w:pPr>
            <w:r>
              <w:rPr>
                <w:sz w:val="20"/>
                <w:szCs w:val="20"/>
              </w:rPr>
              <w:t>0</w:t>
            </w:r>
          </w:p>
        </w:tc>
      </w:tr>
      <w:tr w:rsidR="002A7473" w:rsidRPr="00C7687C" w14:paraId="76242973" w14:textId="77777777" w:rsidTr="00215B6D">
        <w:tc>
          <w:tcPr>
            <w:tcW w:w="8154" w:type="dxa"/>
            <w:gridSpan w:val="2"/>
            <w:tcBorders>
              <w:top w:val="single" w:sz="4" w:space="0" w:color="FFFFFF" w:themeColor="background1"/>
              <w:left w:val="nil"/>
              <w:bottom w:val="nil"/>
              <w:right w:val="single" w:sz="4" w:space="0" w:color="FFFFFF" w:themeColor="background1"/>
            </w:tcBorders>
            <w:shd w:val="clear" w:color="auto" w:fill="F2F2F2"/>
          </w:tcPr>
          <w:p w14:paraId="515241F8" w14:textId="77777777" w:rsidR="002A7473" w:rsidRPr="00F14046" w:rsidRDefault="002A7473" w:rsidP="00F14046">
            <w:pPr>
              <w:pStyle w:val="TableText"/>
              <w:rPr>
                <w:b/>
                <w:szCs w:val="21"/>
              </w:rPr>
            </w:pPr>
            <w:r w:rsidRPr="00F14046">
              <w:rPr>
                <w:b/>
                <w:szCs w:val="21"/>
              </w:rPr>
              <w:t>Total Land Tenure (LT) [as applicable, ((a or b) + c + d + e + f + g)]</w:t>
            </w:r>
          </w:p>
          <w:p w14:paraId="5BB9ABF2" w14:textId="77777777" w:rsidR="002A7473" w:rsidRPr="00F14046" w:rsidRDefault="002A7473" w:rsidP="00F14046">
            <w:pPr>
              <w:pStyle w:val="TableText"/>
              <w:rPr>
                <w:szCs w:val="21"/>
              </w:rPr>
            </w:pPr>
            <w:r w:rsidRPr="00F14046">
              <w:rPr>
                <w:szCs w:val="21"/>
              </w:rPr>
              <w:t>Total may not be less than zero.</w:t>
            </w:r>
          </w:p>
        </w:tc>
        <w:tc>
          <w:tcPr>
            <w:tcW w:w="1278" w:type="dxa"/>
            <w:tcBorders>
              <w:top w:val="single" w:sz="12" w:space="0" w:color="FFFFFF" w:themeColor="background1"/>
              <w:left w:val="single" w:sz="4" w:space="0" w:color="FFFFFF" w:themeColor="background1"/>
              <w:bottom w:val="nil"/>
              <w:right w:val="nil"/>
            </w:tcBorders>
            <w:shd w:val="clear" w:color="auto" w:fill="F2F2F2"/>
          </w:tcPr>
          <w:p w14:paraId="7D064F7B" w14:textId="1C488983" w:rsidR="002A7473" w:rsidRPr="00C7687C" w:rsidRDefault="00BD0017" w:rsidP="00F14046">
            <w:pPr>
              <w:pStyle w:val="TableText"/>
              <w:rPr>
                <w:b/>
                <w:sz w:val="20"/>
                <w:szCs w:val="20"/>
              </w:rPr>
            </w:pPr>
            <w:r>
              <w:rPr>
                <w:b/>
                <w:sz w:val="20"/>
                <w:szCs w:val="20"/>
              </w:rPr>
              <w:t>2</w:t>
            </w:r>
          </w:p>
        </w:tc>
      </w:tr>
    </w:tbl>
    <w:p w14:paraId="64572613" w14:textId="77777777" w:rsidR="002A7473" w:rsidRPr="007F5F05" w:rsidRDefault="002A7473" w:rsidP="002A7473">
      <w:pPr>
        <w:rPr>
          <w:rFonts w:ascii="Arial" w:hAnsi="Arial" w:cs="Arial"/>
          <w:sz w:val="20"/>
          <w:szCs w:val="20"/>
        </w:rPr>
      </w:pP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2"/>
        <w:gridCol w:w="6645"/>
        <w:gridCol w:w="1203"/>
      </w:tblGrid>
      <w:tr w:rsidR="002A7473" w:rsidRPr="00C7687C" w14:paraId="3E92C162" w14:textId="77777777" w:rsidTr="00215B6D">
        <w:tc>
          <w:tcPr>
            <w:tcW w:w="9432" w:type="dxa"/>
            <w:gridSpan w:val="3"/>
            <w:tcBorders>
              <w:top w:val="nil"/>
              <w:left w:val="nil"/>
              <w:bottom w:val="single" w:sz="4" w:space="0" w:color="FFFFFF" w:themeColor="background1"/>
              <w:right w:val="nil"/>
            </w:tcBorders>
            <w:shd w:val="clear" w:color="auto" w:fill="2B3957" w:themeFill="accent2"/>
          </w:tcPr>
          <w:p w14:paraId="7E5C8622" w14:textId="77777777" w:rsidR="002A7473" w:rsidRPr="00C7687C" w:rsidRDefault="002A7473" w:rsidP="00F14046">
            <w:pPr>
              <w:pStyle w:val="TableHeader0"/>
              <w:jc w:val="center"/>
            </w:pPr>
            <w:r w:rsidRPr="00C7687C">
              <w:t>Community Engagement</w:t>
            </w:r>
          </w:p>
        </w:tc>
      </w:tr>
      <w:tr w:rsidR="002A7473" w:rsidRPr="00C7687C" w14:paraId="6A0A1E92" w14:textId="77777777" w:rsidTr="00215B6D">
        <w:tc>
          <w:tcPr>
            <w:tcW w:w="504" w:type="dxa"/>
            <w:tcBorders>
              <w:top w:val="single" w:sz="4" w:space="0" w:color="FFFFFF" w:themeColor="background1"/>
              <w:left w:val="nil"/>
              <w:bottom w:val="single" w:sz="4" w:space="0" w:color="FFFFFF" w:themeColor="background1"/>
              <w:right w:val="single" w:sz="4" w:space="0" w:color="FFFFFF" w:themeColor="background1"/>
            </w:tcBorders>
            <w:shd w:val="clear" w:color="auto" w:fill="2B3957" w:themeFill="accent2"/>
          </w:tcPr>
          <w:p w14:paraId="1F11B055" w14:textId="77777777" w:rsidR="002A7473" w:rsidRPr="00C7687C" w:rsidRDefault="002A7473" w:rsidP="00F14046">
            <w:pPr>
              <w:pStyle w:val="TableHeader0"/>
            </w:pPr>
            <w:r w:rsidRPr="00C7687C">
              <w:t>Risk Factor</w:t>
            </w:r>
          </w:p>
        </w:tc>
        <w:tc>
          <w:tcPr>
            <w:tcW w:w="76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3957" w:themeFill="accent2"/>
          </w:tcPr>
          <w:p w14:paraId="04A67DA8" w14:textId="77777777" w:rsidR="002A7473" w:rsidRPr="00C7687C" w:rsidRDefault="002A7473" w:rsidP="00F14046">
            <w:pPr>
              <w:pStyle w:val="TableHeader0"/>
              <w:jc w:val="center"/>
            </w:pPr>
            <w:r w:rsidRPr="00C7687C">
              <w:t>Risk Factor and/or Mitigation Description</w:t>
            </w:r>
          </w:p>
        </w:tc>
        <w:tc>
          <w:tcPr>
            <w:tcW w:w="1278" w:type="dxa"/>
            <w:tcBorders>
              <w:top w:val="single" w:sz="4" w:space="0" w:color="FFFFFF" w:themeColor="background1"/>
              <w:left w:val="single" w:sz="4" w:space="0" w:color="FFFFFF" w:themeColor="background1"/>
              <w:bottom w:val="single" w:sz="4" w:space="0" w:color="FFFFFF" w:themeColor="background1"/>
              <w:right w:val="nil"/>
            </w:tcBorders>
            <w:shd w:val="clear" w:color="auto" w:fill="2B3957" w:themeFill="accent2"/>
          </w:tcPr>
          <w:p w14:paraId="022F422B" w14:textId="77777777" w:rsidR="002A7473" w:rsidRPr="00C7687C" w:rsidRDefault="002A7473" w:rsidP="00F14046">
            <w:pPr>
              <w:pStyle w:val="TableHeader0"/>
            </w:pPr>
            <w:r w:rsidRPr="00C7687C">
              <w:t>Risk Rating</w:t>
            </w:r>
          </w:p>
        </w:tc>
      </w:tr>
      <w:tr w:rsidR="002A7473" w:rsidRPr="00C7687C" w14:paraId="1CC5D9F6" w14:textId="77777777" w:rsidTr="00215B6D">
        <w:tc>
          <w:tcPr>
            <w:tcW w:w="504" w:type="dxa"/>
            <w:tcBorders>
              <w:top w:val="single" w:sz="4" w:space="0" w:color="FFFFFF" w:themeColor="background1"/>
              <w:left w:val="nil"/>
              <w:bottom w:val="single" w:sz="4" w:space="0" w:color="FFFFFF" w:themeColor="background1"/>
              <w:right w:val="single" w:sz="4" w:space="0" w:color="FFFFFF" w:themeColor="background1"/>
            </w:tcBorders>
            <w:shd w:val="clear" w:color="auto" w:fill="F2F2F2"/>
          </w:tcPr>
          <w:p w14:paraId="2143B4AA" w14:textId="77777777" w:rsidR="002A7473" w:rsidRPr="00B15582" w:rsidRDefault="002A7473" w:rsidP="00F14046">
            <w:pPr>
              <w:pStyle w:val="TableText"/>
            </w:pPr>
            <w:r w:rsidRPr="00B15582">
              <w:t>a)</w:t>
            </w:r>
          </w:p>
        </w:tc>
        <w:tc>
          <w:tcPr>
            <w:tcW w:w="76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14:paraId="3D769E46" w14:textId="3A21E928" w:rsidR="002A7473" w:rsidRPr="00B15582" w:rsidRDefault="00FA4298" w:rsidP="00F14046">
            <w:pPr>
              <w:pStyle w:val="TableText"/>
            </w:pPr>
            <w:r>
              <w:t>N/A</w:t>
            </w:r>
          </w:p>
        </w:tc>
        <w:tc>
          <w:tcPr>
            <w:tcW w:w="1278" w:type="dxa"/>
            <w:tcBorders>
              <w:top w:val="single" w:sz="4" w:space="0" w:color="FFFFFF" w:themeColor="background1"/>
              <w:left w:val="single" w:sz="4" w:space="0" w:color="FFFFFF" w:themeColor="background1"/>
              <w:bottom w:val="single" w:sz="4" w:space="0" w:color="FFFFFF" w:themeColor="background1"/>
              <w:right w:val="nil"/>
            </w:tcBorders>
            <w:shd w:val="clear" w:color="auto" w:fill="F2F2F2"/>
          </w:tcPr>
          <w:p w14:paraId="0AA2A5F8" w14:textId="7D8BFA7A" w:rsidR="002A7473" w:rsidRPr="00B15582" w:rsidRDefault="00FA4298" w:rsidP="00F14046">
            <w:pPr>
              <w:pStyle w:val="TableText"/>
            </w:pPr>
            <w:r>
              <w:t>0</w:t>
            </w:r>
          </w:p>
        </w:tc>
      </w:tr>
      <w:tr w:rsidR="002A7473" w:rsidRPr="00C7687C" w14:paraId="6EB171D9" w14:textId="77777777" w:rsidTr="00215B6D">
        <w:tc>
          <w:tcPr>
            <w:tcW w:w="504" w:type="dxa"/>
            <w:tcBorders>
              <w:top w:val="single" w:sz="4" w:space="0" w:color="FFFFFF" w:themeColor="background1"/>
              <w:left w:val="nil"/>
              <w:bottom w:val="single" w:sz="4" w:space="0" w:color="FFFFFF" w:themeColor="background1"/>
              <w:right w:val="single" w:sz="4" w:space="0" w:color="FFFFFF" w:themeColor="background1"/>
            </w:tcBorders>
            <w:shd w:val="clear" w:color="auto" w:fill="F2F2F2"/>
          </w:tcPr>
          <w:p w14:paraId="6D47750D" w14:textId="77777777" w:rsidR="002A7473" w:rsidRPr="00B15582" w:rsidRDefault="002A7473" w:rsidP="00F14046">
            <w:pPr>
              <w:pStyle w:val="TableText"/>
            </w:pPr>
            <w:r w:rsidRPr="00B15582">
              <w:t>b)</w:t>
            </w:r>
          </w:p>
        </w:tc>
        <w:tc>
          <w:tcPr>
            <w:tcW w:w="76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14:paraId="696266E3" w14:textId="5809B8F0" w:rsidR="002A7473" w:rsidRPr="00B15582" w:rsidRDefault="00FA4298" w:rsidP="00F14046">
            <w:pPr>
              <w:pStyle w:val="TableText"/>
            </w:pPr>
            <w:r w:rsidRPr="00FA4298">
              <w:t>There are 23 households who derive at least a portion of their livelihoods from the project area and live within 20km from the project boundary. More than 20% of this group have been consulted through one on one meetings and group discussions.</w:t>
            </w:r>
          </w:p>
        </w:tc>
        <w:tc>
          <w:tcPr>
            <w:tcW w:w="1278" w:type="dxa"/>
            <w:tcBorders>
              <w:top w:val="single" w:sz="4" w:space="0" w:color="FFFFFF" w:themeColor="background1"/>
              <w:left w:val="single" w:sz="4" w:space="0" w:color="FFFFFF" w:themeColor="background1"/>
              <w:bottom w:val="single" w:sz="4" w:space="0" w:color="FFFFFF" w:themeColor="background1"/>
              <w:right w:val="nil"/>
            </w:tcBorders>
            <w:shd w:val="clear" w:color="auto" w:fill="F2F2F2"/>
          </w:tcPr>
          <w:p w14:paraId="7F11F358" w14:textId="7E152562" w:rsidR="002A7473" w:rsidRPr="00B15582" w:rsidRDefault="00FA4298" w:rsidP="00F14046">
            <w:pPr>
              <w:pStyle w:val="TableText"/>
            </w:pPr>
            <w:r>
              <w:t>0</w:t>
            </w:r>
          </w:p>
        </w:tc>
      </w:tr>
      <w:tr w:rsidR="002A7473" w:rsidRPr="00C7687C" w14:paraId="1953FC77" w14:textId="77777777" w:rsidTr="00215B6D">
        <w:tc>
          <w:tcPr>
            <w:tcW w:w="504" w:type="dxa"/>
            <w:tcBorders>
              <w:top w:val="single" w:sz="4" w:space="0" w:color="FFFFFF" w:themeColor="background1"/>
              <w:left w:val="nil"/>
              <w:bottom w:val="single" w:sz="4" w:space="0" w:color="FFFFFF" w:themeColor="background1"/>
              <w:right w:val="single" w:sz="4" w:space="0" w:color="FFFFFF" w:themeColor="background1"/>
            </w:tcBorders>
            <w:shd w:val="clear" w:color="auto" w:fill="F2F2F2"/>
          </w:tcPr>
          <w:p w14:paraId="28698DD7" w14:textId="77777777" w:rsidR="002A7473" w:rsidRPr="00B15582" w:rsidRDefault="002A7473" w:rsidP="00F14046">
            <w:pPr>
              <w:pStyle w:val="TableText"/>
            </w:pPr>
            <w:r w:rsidRPr="00B15582">
              <w:t>c)</w:t>
            </w:r>
          </w:p>
        </w:tc>
        <w:tc>
          <w:tcPr>
            <w:tcW w:w="76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14:paraId="74733C41" w14:textId="582B2E66" w:rsidR="002A7473" w:rsidRPr="00B15582" w:rsidRDefault="00FA4298" w:rsidP="00F14046">
            <w:pPr>
              <w:pStyle w:val="TableText"/>
            </w:pPr>
            <w:r w:rsidRPr="00FA4298">
              <w:t>Mitigation: The project generates net positive impacts on the social and economic wellbeing of the local communities who derive livelihoods from the project area.</w:t>
            </w:r>
          </w:p>
        </w:tc>
        <w:tc>
          <w:tcPr>
            <w:tcW w:w="1278" w:type="dxa"/>
            <w:tcBorders>
              <w:top w:val="single" w:sz="4" w:space="0" w:color="FFFFFF" w:themeColor="background1"/>
              <w:left w:val="single" w:sz="4" w:space="0" w:color="FFFFFF" w:themeColor="background1"/>
              <w:bottom w:val="single" w:sz="4" w:space="0" w:color="FFFFFF" w:themeColor="background1"/>
              <w:right w:val="nil"/>
            </w:tcBorders>
            <w:shd w:val="clear" w:color="auto" w:fill="F2F2F2"/>
          </w:tcPr>
          <w:p w14:paraId="03DB90F0" w14:textId="46D7484E" w:rsidR="002A7473" w:rsidRPr="00B15582" w:rsidRDefault="00FA4298" w:rsidP="00F14046">
            <w:pPr>
              <w:pStyle w:val="TableText"/>
            </w:pPr>
            <w:r>
              <w:t>-5</w:t>
            </w:r>
          </w:p>
        </w:tc>
      </w:tr>
      <w:tr w:rsidR="002A7473" w:rsidRPr="00C7687C" w14:paraId="51128A58" w14:textId="77777777" w:rsidTr="00215B6D">
        <w:tc>
          <w:tcPr>
            <w:tcW w:w="8154" w:type="dxa"/>
            <w:gridSpan w:val="2"/>
            <w:tcBorders>
              <w:top w:val="single" w:sz="12" w:space="0" w:color="FFFFFF" w:themeColor="background1"/>
              <w:left w:val="nil"/>
              <w:bottom w:val="nil"/>
              <w:right w:val="single" w:sz="4" w:space="0" w:color="FFFFFF" w:themeColor="background1"/>
            </w:tcBorders>
            <w:shd w:val="clear" w:color="auto" w:fill="F2F2F2"/>
          </w:tcPr>
          <w:p w14:paraId="46091A53" w14:textId="77777777" w:rsidR="002A7473" w:rsidRPr="007F5F05" w:rsidRDefault="002A7473" w:rsidP="00F14046">
            <w:pPr>
              <w:pStyle w:val="TableText"/>
              <w:rPr>
                <w:rFonts w:eastAsia="Times New Roman"/>
                <w:b/>
                <w:bCs/>
                <w:iCs/>
              </w:rPr>
            </w:pPr>
            <w:r w:rsidRPr="007F5F05">
              <w:rPr>
                <w:rFonts w:eastAsia="Times New Roman"/>
                <w:b/>
                <w:bCs/>
                <w:iCs/>
              </w:rPr>
              <w:lastRenderedPageBreak/>
              <w:t>Total Community Engagement (CE) [where applicable, (a</w:t>
            </w:r>
            <w:r>
              <w:rPr>
                <w:rFonts w:eastAsia="Times New Roman"/>
                <w:b/>
                <w:bCs/>
                <w:iCs/>
              </w:rPr>
              <w:t xml:space="preserve"> </w:t>
            </w:r>
            <w:r w:rsidRPr="007F5F05">
              <w:rPr>
                <w:rFonts w:eastAsia="Times New Roman"/>
                <w:b/>
                <w:bCs/>
                <w:iCs/>
              </w:rPr>
              <w:t>+</w:t>
            </w:r>
            <w:r>
              <w:rPr>
                <w:rFonts w:eastAsia="Times New Roman"/>
                <w:b/>
                <w:bCs/>
                <w:iCs/>
              </w:rPr>
              <w:t xml:space="preserve"> </w:t>
            </w:r>
            <w:r w:rsidRPr="007F5F05">
              <w:rPr>
                <w:rFonts w:eastAsia="Times New Roman"/>
                <w:b/>
                <w:bCs/>
                <w:iCs/>
              </w:rPr>
              <w:t>b</w:t>
            </w:r>
            <w:r>
              <w:rPr>
                <w:rFonts w:eastAsia="Times New Roman"/>
                <w:b/>
                <w:bCs/>
                <w:iCs/>
              </w:rPr>
              <w:t xml:space="preserve"> </w:t>
            </w:r>
            <w:r w:rsidRPr="007F5F05">
              <w:rPr>
                <w:rFonts w:eastAsia="Times New Roman"/>
                <w:b/>
                <w:bCs/>
                <w:iCs/>
              </w:rPr>
              <w:t>+</w:t>
            </w:r>
            <w:r>
              <w:rPr>
                <w:rFonts w:eastAsia="Times New Roman"/>
                <w:b/>
                <w:bCs/>
                <w:iCs/>
              </w:rPr>
              <w:t xml:space="preserve"> </w:t>
            </w:r>
            <w:r w:rsidRPr="007F5F05">
              <w:rPr>
                <w:rFonts w:eastAsia="Times New Roman"/>
                <w:b/>
                <w:bCs/>
                <w:iCs/>
              </w:rPr>
              <w:t>c)]</w:t>
            </w:r>
          </w:p>
          <w:p w14:paraId="6643CBB9" w14:textId="77777777" w:rsidR="002A7473" w:rsidRPr="00C7687C" w:rsidRDefault="002A7473" w:rsidP="00F14046">
            <w:pPr>
              <w:pStyle w:val="TableText"/>
            </w:pPr>
            <w:r w:rsidRPr="00C7687C">
              <w:t>Total may be less than zero.</w:t>
            </w:r>
          </w:p>
        </w:tc>
        <w:tc>
          <w:tcPr>
            <w:tcW w:w="1278" w:type="dxa"/>
            <w:tcBorders>
              <w:top w:val="single" w:sz="12" w:space="0" w:color="FFFFFF" w:themeColor="background1"/>
              <w:left w:val="single" w:sz="4" w:space="0" w:color="FFFFFF" w:themeColor="background1"/>
              <w:bottom w:val="nil"/>
              <w:right w:val="nil"/>
            </w:tcBorders>
            <w:shd w:val="clear" w:color="auto" w:fill="F2F2F2"/>
          </w:tcPr>
          <w:p w14:paraId="51EB75C9" w14:textId="605B467D" w:rsidR="002A7473" w:rsidRPr="00C7687C" w:rsidRDefault="00FA4298" w:rsidP="00F14046">
            <w:pPr>
              <w:pStyle w:val="TableText"/>
              <w:rPr>
                <w:b/>
              </w:rPr>
            </w:pPr>
            <w:r>
              <w:rPr>
                <w:b/>
              </w:rPr>
              <w:t>-5</w:t>
            </w:r>
          </w:p>
        </w:tc>
      </w:tr>
    </w:tbl>
    <w:p w14:paraId="4F522224" w14:textId="77777777" w:rsidR="002A7473" w:rsidRPr="007F5F05" w:rsidRDefault="002A7473" w:rsidP="002A7473">
      <w:pPr>
        <w:rPr>
          <w:rFonts w:ascii="Arial" w:hAnsi="Arial" w:cs="Arial"/>
          <w:sz w:val="20"/>
          <w:szCs w:val="20"/>
        </w:rPr>
      </w:pP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2"/>
        <w:gridCol w:w="6647"/>
        <w:gridCol w:w="1201"/>
      </w:tblGrid>
      <w:tr w:rsidR="002A7473" w:rsidRPr="00C7687C" w14:paraId="70A66981" w14:textId="77777777" w:rsidTr="00215B6D">
        <w:tc>
          <w:tcPr>
            <w:tcW w:w="9432" w:type="dxa"/>
            <w:gridSpan w:val="3"/>
            <w:tcBorders>
              <w:top w:val="nil"/>
              <w:left w:val="nil"/>
              <w:bottom w:val="single" w:sz="4" w:space="0" w:color="FFFFFF" w:themeColor="background1"/>
              <w:right w:val="nil"/>
            </w:tcBorders>
            <w:shd w:val="clear" w:color="auto" w:fill="2B3957" w:themeFill="accent2"/>
          </w:tcPr>
          <w:p w14:paraId="1CF4A68E" w14:textId="77777777" w:rsidR="002A7473" w:rsidRPr="00C7687C" w:rsidRDefault="002A7473" w:rsidP="00F14046">
            <w:pPr>
              <w:pStyle w:val="TableHeader0"/>
              <w:jc w:val="center"/>
            </w:pPr>
            <w:r w:rsidRPr="00C7687C">
              <w:t>Political Risk</w:t>
            </w:r>
          </w:p>
        </w:tc>
      </w:tr>
      <w:tr w:rsidR="002A7473" w:rsidRPr="00C7687C" w14:paraId="4DCE156D" w14:textId="77777777" w:rsidTr="00215B6D">
        <w:tc>
          <w:tcPr>
            <w:tcW w:w="504" w:type="dxa"/>
            <w:tcBorders>
              <w:top w:val="single" w:sz="4" w:space="0" w:color="FFFFFF" w:themeColor="background1"/>
              <w:left w:val="nil"/>
              <w:bottom w:val="single" w:sz="4" w:space="0" w:color="FFFFFF" w:themeColor="background1"/>
              <w:right w:val="single" w:sz="4" w:space="0" w:color="FFFFFF" w:themeColor="background1"/>
            </w:tcBorders>
            <w:shd w:val="clear" w:color="auto" w:fill="2B3957" w:themeFill="accent2"/>
          </w:tcPr>
          <w:p w14:paraId="3B2A647D" w14:textId="77777777" w:rsidR="002A7473" w:rsidRPr="00C7687C" w:rsidRDefault="002A7473" w:rsidP="00F14046">
            <w:pPr>
              <w:pStyle w:val="TableHeader0"/>
            </w:pPr>
            <w:r w:rsidRPr="00C7687C">
              <w:t>Risk Factor</w:t>
            </w:r>
          </w:p>
        </w:tc>
        <w:tc>
          <w:tcPr>
            <w:tcW w:w="76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3957" w:themeFill="accent2"/>
          </w:tcPr>
          <w:p w14:paraId="645DD52B" w14:textId="77777777" w:rsidR="002A7473" w:rsidRPr="00C7687C" w:rsidRDefault="002A7473" w:rsidP="00F14046">
            <w:pPr>
              <w:pStyle w:val="TableHeader0"/>
              <w:jc w:val="center"/>
            </w:pPr>
            <w:r w:rsidRPr="00C7687C">
              <w:t>Risk Factor and/or Mitigation Description</w:t>
            </w:r>
          </w:p>
        </w:tc>
        <w:tc>
          <w:tcPr>
            <w:tcW w:w="1278" w:type="dxa"/>
            <w:tcBorders>
              <w:top w:val="single" w:sz="4" w:space="0" w:color="FFFFFF" w:themeColor="background1"/>
              <w:left w:val="single" w:sz="4" w:space="0" w:color="FFFFFF" w:themeColor="background1"/>
              <w:bottom w:val="single" w:sz="4" w:space="0" w:color="FFFFFF" w:themeColor="background1"/>
              <w:right w:val="nil"/>
            </w:tcBorders>
            <w:shd w:val="clear" w:color="auto" w:fill="2B3957" w:themeFill="accent2"/>
          </w:tcPr>
          <w:p w14:paraId="7EC7B094" w14:textId="77777777" w:rsidR="002A7473" w:rsidRPr="00C7687C" w:rsidRDefault="002A7473" w:rsidP="00F14046">
            <w:pPr>
              <w:pStyle w:val="TableHeader0"/>
            </w:pPr>
            <w:r w:rsidRPr="00C7687C">
              <w:t>Risk Rating</w:t>
            </w:r>
          </w:p>
        </w:tc>
      </w:tr>
      <w:tr w:rsidR="002A7473" w:rsidRPr="00C7687C" w14:paraId="1E55F64E" w14:textId="77777777" w:rsidTr="00215B6D">
        <w:tc>
          <w:tcPr>
            <w:tcW w:w="504" w:type="dxa"/>
            <w:tcBorders>
              <w:top w:val="single" w:sz="4" w:space="0" w:color="FFFFFF" w:themeColor="background1"/>
              <w:left w:val="nil"/>
              <w:bottom w:val="single" w:sz="4" w:space="0" w:color="FFFFFF" w:themeColor="background1"/>
              <w:right w:val="single" w:sz="4" w:space="0" w:color="FFFFFF" w:themeColor="background1"/>
            </w:tcBorders>
            <w:shd w:val="clear" w:color="auto" w:fill="F2F2F2"/>
          </w:tcPr>
          <w:p w14:paraId="7618D395" w14:textId="77777777" w:rsidR="002A7473" w:rsidRPr="00B15582" w:rsidRDefault="002A7473" w:rsidP="00F14046">
            <w:pPr>
              <w:pStyle w:val="TableText"/>
            </w:pPr>
            <w:r w:rsidRPr="00B15582">
              <w:t>a)</w:t>
            </w:r>
          </w:p>
        </w:tc>
        <w:tc>
          <w:tcPr>
            <w:tcW w:w="76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14:paraId="3179E4EE" w14:textId="5AB34FC2" w:rsidR="002A7473" w:rsidRPr="00B15582" w:rsidRDefault="00FA4298" w:rsidP="00F14046">
            <w:pPr>
              <w:pStyle w:val="TableText"/>
            </w:pPr>
            <w:r>
              <w:t>N/A</w:t>
            </w:r>
          </w:p>
        </w:tc>
        <w:tc>
          <w:tcPr>
            <w:tcW w:w="1278" w:type="dxa"/>
            <w:tcBorders>
              <w:top w:val="single" w:sz="4" w:space="0" w:color="FFFFFF" w:themeColor="background1"/>
              <w:left w:val="single" w:sz="4" w:space="0" w:color="FFFFFF" w:themeColor="background1"/>
              <w:bottom w:val="single" w:sz="4" w:space="0" w:color="FFFFFF" w:themeColor="background1"/>
              <w:right w:val="nil"/>
            </w:tcBorders>
            <w:shd w:val="clear" w:color="auto" w:fill="F2F2F2"/>
          </w:tcPr>
          <w:p w14:paraId="2C504439" w14:textId="0B9FF3B9" w:rsidR="002A7473" w:rsidRPr="00B15582" w:rsidRDefault="00FA4298" w:rsidP="00F14046">
            <w:pPr>
              <w:pStyle w:val="TableText"/>
            </w:pPr>
            <w:r>
              <w:t>0</w:t>
            </w:r>
          </w:p>
        </w:tc>
      </w:tr>
      <w:tr w:rsidR="002A7473" w:rsidRPr="00C7687C" w14:paraId="2ADE355E" w14:textId="77777777" w:rsidTr="00215B6D">
        <w:tc>
          <w:tcPr>
            <w:tcW w:w="504" w:type="dxa"/>
            <w:tcBorders>
              <w:top w:val="single" w:sz="4" w:space="0" w:color="FFFFFF" w:themeColor="background1"/>
              <w:left w:val="nil"/>
              <w:bottom w:val="single" w:sz="4" w:space="0" w:color="FFFFFF" w:themeColor="background1"/>
              <w:right w:val="single" w:sz="4" w:space="0" w:color="FFFFFF" w:themeColor="background1"/>
            </w:tcBorders>
            <w:shd w:val="clear" w:color="auto" w:fill="F2F2F2"/>
          </w:tcPr>
          <w:p w14:paraId="62D6DFA2" w14:textId="77777777" w:rsidR="002A7473" w:rsidRPr="00B15582" w:rsidRDefault="002A7473" w:rsidP="00F14046">
            <w:pPr>
              <w:pStyle w:val="TableText"/>
            </w:pPr>
            <w:r w:rsidRPr="00B15582">
              <w:t>b)</w:t>
            </w:r>
          </w:p>
        </w:tc>
        <w:tc>
          <w:tcPr>
            <w:tcW w:w="76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14:paraId="684E26C3" w14:textId="2BA1D924" w:rsidR="002A7473" w:rsidRPr="00B15582" w:rsidRDefault="00FA4298" w:rsidP="00F14046">
            <w:pPr>
              <w:pStyle w:val="TableText"/>
            </w:pPr>
            <w:r>
              <w:t>N/A</w:t>
            </w:r>
          </w:p>
        </w:tc>
        <w:tc>
          <w:tcPr>
            <w:tcW w:w="1278" w:type="dxa"/>
            <w:tcBorders>
              <w:top w:val="single" w:sz="4" w:space="0" w:color="FFFFFF" w:themeColor="background1"/>
              <w:left w:val="single" w:sz="4" w:space="0" w:color="FFFFFF" w:themeColor="background1"/>
              <w:bottom w:val="single" w:sz="4" w:space="0" w:color="FFFFFF" w:themeColor="background1"/>
              <w:right w:val="nil"/>
            </w:tcBorders>
            <w:shd w:val="clear" w:color="auto" w:fill="F2F2F2"/>
          </w:tcPr>
          <w:p w14:paraId="1931E9AC" w14:textId="1255B808" w:rsidR="002A7473" w:rsidRPr="00B15582" w:rsidRDefault="00FA4298" w:rsidP="00F14046">
            <w:pPr>
              <w:pStyle w:val="TableText"/>
            </w:pPr>
            <w:r>
              <w:t>0</w:t>
            </w:r>
          </w:p>
        </w:tc>
      </w:tr>
      <w:tr w:rsidR="002A7473" w:rsidRPr="00C7687C" w14:paraId="25BC1ADE" w14:textId="77777777" w:rsidTr="00215B6D">
        <w:tc>
          <w:tcPr>
            <w:tcW w:w="504" w:type="dxa"/>
            <w:tcBorders>
              <w:top w:val="single" w:sz="4" w:space="0" w:color="FFFFFF" w:themeColor="background1"/>
              <w:left w:val="nil"/>
              <w:bottom w:val="single" w:sz="4" w:space="0" w:color="FFFFFF" w:themeColor="background1"/>
              <w:right w:val="single" w:sz="4" w:space="0" w:color="FFFFFF" w:themeColor="background1"/>
            </w:tcBorders>
            <w:shd w:val="clear" w:color="auto" w:fill="F2F2F2"/>
          </w:tcPr>
          <w:p w14:paraId="29B20E5F" w14:textId="77777777" w:rsidR="002A7473" w:rsidRPr="00B15582" w:rsidRDefault="002A7473" w:rsidP="00F14046">
            <w:pPr>
              <w:pStyle w:val="TableText"/>
            </w:pPr>
            <w:r w:rsidRPr="00B15582">
              <w:t>c)</w:t>
            </w:r>
          </w:p>
        </w:tc>
        <w:tc>
          <w:tcPr>
            <w:tcW w:w="76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14:paraId="2EDE2755" w14:textId="18E8C716" w:rsidR="002A7473" w:rsidRPr="00B15582" w:rsidRDefault="00FA4298" w:rsidP="00F14046">
            <w:pPr>
              <w:pStyle w:val="TableText"/>
            </w:pPr>
            <w:r w:rsidRPr="00FA4298">
              <w:t>Indonesia's average governance score over the most recent five years (2013 to 2017) is equal to -0.24. See attached spreadsheet showing applicable scores (World Bank Governance Indicators.xlsx)</w:t>
            </w:r>
          </w:p>
        </w:tc>
        <w:tc>
          <w:tcPr>
            <w:tcW w:w="1278" w:type="dxa"/>
            <w:tcBorders>
              <w:top w:val="single" w:sz="4" w:space="0" w:color="FFFFFF" w:themeColor="background1"/>
              <w:left w:val="single" w:sz="4" w:space="0" w:color="FFFFFF" w:themeColor="background1"/>
              <w:bottom w:val="single" w:sz="4" w:space="0" w:color="FFFFFF" w:themeColor="background1"/>
              <w:right w:val="nil"/>
            </w:tcBorders>
            <w:shd w:val="clear" w:color="auto" w:fill="F2F2F2"/>
          </w:tcPr>
          <w:p w14:paraId="1B97B309" w14:textId="7D81CABE" w:rsidR="002A7473" w:rsidRPr="00B15582" w:rsidRDefault="00FA4298" w:rsidP="00F14046">
            <w:pPr>
              <w:pStyle w:val="TableText"/>
            </w:pPr>
            <w:r>
              <w:t>2</w:t>
            </w:r>
          </w:p>
        </w:tc>
      </w:tr>
      <w:tr w:rsidR="002A7473" w:rsidRPr="00C7687C" w14:paraId="4FE232AF" w14:textId="77777777" w:rsidTr="00215B6D">
        <w:tc>
          <w:tcPr>
            <w:tcW w:w="504" w:type="dxa"/>
            <w:tcBorders>
              <w:top w:val="single" w:sz="4" w:space="0" w:color="FFFFFF" w:themeColor="background1"/>
              <w:left w:val="nil"/>
              <w:bottom w:val="single" w:sz="4" w:space="0" w:color="FFFFFF" w:themeColor="background1"/>
              <w:right w:val="single" w:sz="4" w:space="0" w:color="FFFFFF" w:themeColor="background1"/>
            </w:tcBorders>
            <w:shd w:val="clear" w:color="auto" w:fill="F2F2F2"/>
          </w:tcPr>
          <w:p w14:paraId="3C5F6BC6" w14:textId="77777777" w:rsidR="002A7473" w:rsidRPr="00B15582" w:rsidRDefault="002A7473" w:rsidP="00F14046">
            <w:pPr>
              <w:pStyle w:val="TableText"/>
            </w:pPr>
            <w:r w:rsidRPr="00B15582">
              <w:t>d)</w:t>
            </w:r>
          </w:p>
        </w:tc>
        <w:tc>
          <w:tcPr>
            <w:tcW w:w="76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14:paraId="33B65C74" w14:textId="70F6985A" w:rsidR="002A7473" w:rsidRPr="00B15582" w:rsidRDefault="00FA4298" w:rsidP="00F14046">
            <w:pPr>
              <w:pStyle w:val="TableText"/>
            </w:pPr>
            <w:r>
              <w:t>N/A</w:t>
            </w:r>
          </w:p>
        </w:tc>
        <w:tc>
          <w:tcPr>
            <w:tcW w:w="1278" w:type="dxa"/>
            <w:tcBorders>
              <w:top w:val="single" w:sz="4" w:space="0" w:color="FFFFFF" w:themeColor="background1"/>
              <w:left w:val="single" w:sz="4" w:space="0" w:color="FFFFFF" w:themeColor="background1"/>
              <w:bottom w:val="single" w:sz="4" w:space="0" w:color="FFFFFF" w:themeColor="background1"/>
              <w:right w:val="nil"/>
            </w:tcBorders>
            <w:shd w:val="clear" w:color="auto" w:fill="F2F2F2"/>
          </w:tcPr>
          <w:p w14:paraId="76059997" w14:textId="774BD1EE" w:rsidR="002A7473" w:rsidRPr="00B15582" w:rsidRDefault="00FA4298" w:rsidP="00F14046">
            <w:pPr>
              <w:pStyle w:val="TableText"/>
            </w:pPr>
            <w:r>
              <w:t>0</w:t>
            </w:r>
          </w:p>
        </w:tc>
      </w:tr>
      <w:tr w:rsidR="002A7473" w:rsidRPr="00C7687C" w14:paraId="69753EBE" w14:textId="77777777" w:rsidTr="00215B6D">
        <w:tc>
          <w:tcPr>
            <w:tcW w:w="504" w:type="dxa"/>
            <w:tcBorders>
              <w:top w:val="single" w:sz="4" w:space="0" w:color="FFFFFF" w:themeColor="background1"/>
              <w:left w:val="nil"/>
              <w:bottom w:val="single" w:sz="4" w:space="0" w:color="FFFFFF" w:themeColor="background1"/>
              <w:right w:val="single" w:sz="4" w:space="0" w:color="FFFFFF" w:themeColor="background1"/>
            </w:tcBorders>
            <w:shd w:val="clear" w:color="auto" w:fill="F2F2F2"/>
          </w:tcPr>
          <w:p w14:paraId="33BF5517" w14:textId="77777777" w:rsidR="002A7473" w:rsidRPr="00B15582" w:rsidRDefault="002A7473" w:rsidP="00F14046">
            <w:pPr>
              <w:pStyle w:val="TableText"/>
            </w:pPr>
            <w:r w:rsidRPr="00B15582">
              <w:t>e)</w:t>
            </w:r>
          </w:p>
        </w:tc>
        <w:tc>
          <w:tcPr>
            <w:tcW w:w="76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cPr>
          <w:p w14:paraId="4E303450" w14:textId="3FFAD6AA" w:rsidR="002A7473" w:rsidRPr="00B15582" w:rsidRDefault="00FA4298" w:rsidP="00F14046">
            <w:pPr>
              <w:pStyle w:val="TableText"/>
            </w:pPr>
            <w:r>
              <w:t>N/A</w:t>
            </w:r>
          </w:p>
        </w:tc>
        <w:tc>
          <w:tcPr>
            <w:tcW w:w="1278" w:type="dxa"/>
            <w:tcBorders>
              <w:top w:val="single" w:sz="4" w:space="0" w:color="FFFFFF" w:themeColor="background1"/>
              <w:left w:val="single" w:sz="4" w:space="0" w:color="FFFFFF" w:themeColor="background1"/>
              <w:bottom w:val="single" w:sz="4" w:space="0" w:color="FFFFFF" w:themeColor="background1"/>
              <w:right w:val="nil"/>
            </w:tcBorders>
            <w:shd w:val="clear" w:color="auto" w:fill="F2F2F2"/>
          </w:tcPr>
          <w:p w14:paraId="2A53BC8D" w14:textId="32C1A1DB" w:rsidR="002A7473" w:rsidRPr="00B15582" w:rsidRDefault="00FA4298" w:rsidP="00F14046">
            <w:pPr>
              <w:pStyle w:val="TableText"/>
            </w:pPr>
            <w:r>
              <w:t>0</w:t>
            </w:r>
          </w:p>
        </w:tc>
      </w:tr>
      <w:tr w:rsidR="002A7473" w:rsidRPr="00C7687C" w14:paraId="72ED60CD" w14:textId="77777777" w:rsidTr="00215B6D">
        <w:tc>
          <w:tcPr>
            <w:tcW w:w="504" w:type="dxa"/>
            <w:tcBorders>
              <w:top w:val="single" w:sz="4" w:space="0" w:color="FFFFFF" w:themeColor="background1"/>
              <w:left w:val="nil"/>
              <w:bottom w:val="single" w:sz="12" w:space="0" w:color="FFFFFF" w:themeColor="background1"/>
              <w:right w:val="single" w:sz="4" w:space="0" w:color="FFFFFF" w:themeColor="background1"/>
            </w:tcBorders>
            <w:shd w:val="clear" w:color="auto" w:fill="F2F2F2"/>
          </w:tcPr>
          <w:p w14:paraId="51F4F0D7" w14:textId="77777777" w:rsidR="002A7473" w:rsidRPr="00B15582" w:rsidRDefault="002A7473" w:rsidP="00F14046">
            <w:pPr>
              <w:pStyle w:val="TableText"/>
            </w:pPr>
            <w:r w:rsidRPr="00B15582">
              <w:t>f)</w:t>
            </w:r>
          </w:p>
        </w:tc>
        <w:tc>
          <w:tcPr>
            <w:tcW w:w="7650" w:type="dxa"/>
            <w:tcBorders>
              <w:top w:val="single" w:sz="4" w:space="0" w:color="FFFFFF" w:themeColor="background1"/>
              <w:left w:val="single" w:sz="4" w:space="0" w:color="FFFFFF" w:themeColor="background1"/>
              <w:bottom w:val="single" w:sz="12" w:space="0" w:color="FFFFFF" w:themeColor="background1"/>
              <w:right w:val="single" w:sz="4" w:space="0" w:color="FFFFFF" w:themeColor="background1"/>
            </w:tcBorders>
            <w:shd w:val="clear" w:color="auto" w:fill="F2F2F2"/>
          </w:tcPr>
          <w:p w14:paraId="3CC83E93" w14:textId="6CACA080" w:rsidR="002A7473" w:rsidRPr="00B15582" w:rsidRDefault="00FA4298" w:rsidP="00F14046">
            <w:pPr>
              <w:pStyle w:val="TableText"/>
            </w:pPr>
            <w:r w:rsidRPr="00FA4298">
              <w:t>Indonesia is implementing REDD+ Readiness activities.</w:t>
            </w:r>
          </w:p>
        </w:tc>
        <w:tc>
          <w:tcPr>
            <w:tcW w:w="1278" w:type="dxa"/>
            <w:tcBorders>
              <w:top w:val="single" w:sz="4" w:space="0" w:color="FFFFFF" w:themeColor="background1"/>
              <w:left w:val="single" w:sz="4" w:space="0" w:color="FFFFFF" w:themeColor="background1"/>
              <w:bottom w:val="single" w:sz="12" w:space="0" w:color="FFFFFF" w:themeColor="background1"/>
              <w:right w:val="nil"/>
            </w:tcBorders>
            <w:shd w:val="clear" w:color="auto" w:fill="F2F2F2"/>
          </w:tcPr>
          <w:p w14:paraId="69155867" w14:textId="2C0E445A" w:rsidR="002A7473" w:rsidRPr="00B15582" w:rsidRDefault="00FA4298" w:rsidP="00F14046">
            <w:pPr>
              <w:pStyle w:val="TableText"/>
            </w:pPr>
            <w:r>
              <w:t>-2</w:t>
            </w:r>
          </w:p>
        </w:tc>
      </w:tr>
      <w:tr w:rsidR="002A7473" w:rsidRPr="00C7687C" w14:paraId="3750BBD2" w14:textId="77777777" w:rsidTr="00215B6D">
        <w:tc>
          <w:tcPr>
            <w:tcW w:w="8154" w:type="dxa"/>
            <w:gridSpan w:val="2"/>
            <w:tcBorders>
              <w:top w:val="single" w:sz="4" w:space="0" w:color="FFFFFF" w:themeColor="background1"/>
              <w:left w:val="nil"/>
              <w:bottom w:val="nil"/>
              <w:right w:val="single" w:sz="4" w:space="0" w:color="FFFFFF" w:themeColor="background1"/>
            </w:tcBorders>
            <w:shd w:val="clear" w:color="auto" w:fill="F2F2F2"/>
          </w:tcPr>
          <w:p w14:paraId="17A77C34" w14:textId="77777777" w:rsidR="002A7473" w:rsidRPr="007F5F05" w:rsidRDefault="002A7473" w:rsidP="00F14046">
            <w:pPr>
              <w:pStyle w:val="TableText"/>
              <w:rPr>
                <w:rFonts w:eastAsia="Times New Roman"/>
                <w:b/>
                <w:bCs/>
              </w:rPr>
            </w:pPr>
            <w:r w:rsidRPr="007F5F05">
              <w:rPr>
                <w:rFonts w:eastAsia="Times New Roman"/>
                <w:b/>
                <w:bCs/>
              </w:rPr>
              <w:t>Total Political (PC) [as applicable ((a, b, c, d or e) + f)]</w:t>
            </w:r>
          </w:p>
          <w:p w14:paraId="0F54A7BE" w14:textId="77777777" w:rsidR="002A7473" w:rsidRPr="00C7687C" w:rsidRDefault="002A7473" w:rsidP="00F14046">
            <w:pPr>
              <w:pStyle w:val="TableText"/>
            </w:pPr>
            <w:r w:rsidRPr="007F5F05">
              <w:rPr>
                <w:rFonts w:eastAsia="Times New Roman"/>
                <w:bCs/>
              </w:rPr>
              <w:t>Total may not be less than zero.</w:t>
            </w:r>
          </w:p>
        </w:tc>
        <w:tc>
          <w:tcPr>
            <w:tcW w:w="1278" w:type="dxa"/>
            <w:tcBorders>
              <w:top w:val="single" w:sz="12" w:space="0" w:color="FFFFFF" w:themeColor="background1"/>
              <w:left w:val="single" w:sz="4" w:space="0" w:color="FFFFFF" w:themeColor="background1"/>
              <w:bottom w:val="nil"/>
              <w:right w:val="nil"/>
            </w:tcBorders>
            <w:shd w:val="clear" w:color="auto" w:fill="F2F2F2"/>
          </w:tcPr>
          <w:p w14:paraId="3DB3D720" w14:textId="3A610763" w:rsidR="002A7473" w:rsidRPr="00C7687C" w:rsidRDefault="00FA4298" w:rsidP="00F14046">
            <w:pPr>
              <w:pStyle w:val="TableText"/>
              <w:rPr>
                <w:b/>
              </w:rPr>
            </w:pPr>
            <w:r>
              <w:rPr>
                <w:b/>
              </w:rPr>
              <w:t>0</w:t>
            </w:r>
          </w:p>
        </w:tc>
      </w:tr>
    </w:tbl>
    <w:p w14:paraId="2F422EEC" w14:textId="77777777" w:rsidR="002A7473" w:rsidRPr="007F5F05" w:rsidRDefault="002A7473" w:rsidP="002A7473">
      <w:pPr>
        <w:rPr>
          <w:rFonts w:ascii="Arial" w:hAnsi="Arial" w:cs="Arial"/>
          <w:sz w:val="20"/>
          <w:szCs w:val="20"/>
        </w:rPr>
      </w:pPr>
    </w:p>
    <w:tbl>
      <w:tblPr>
        <w:tblW w:w="8640" w:type="dxa"/>
        <w:tblInd w:w="720" w:type="dxa"/>
        <w:tblBorders>
          <w:insideH w:val="single" w:sz="4" w:space="0" w:color="FFFFFF" w:themeColor="background1"/>
          <w:insideV w:val="single" w:sz="4" w:space="0" w:color="FFFFFF" w:themeColor="background1"/>
        </w:tblBorders>
        <w:tblCellMar>
          <w:left w:w="115" w:type="dxa"/>
          <w:right w:w="115" w:type="dxa"/>
        </w:tblCellMar>
        <w:tblLook w:val="04A0" w:firstRow="1" w:lastRow="0" w:firstColumn="1" w:lastColumn="0" w:noHBand="0" w:noVBand="1"/>
      </w:tblPr>
      <w:tblGrid>
        <w:gridCol w:w="6279"/>
        <w:gridCol w:w="2361"/>
      </w:tblGrid>
      <w:tr w:rsidR="002A7473" w:rsidRPr="00C7687C" w14:paraId="6AB7895A" w14:textId="77777777" w:rsidTr="00215B6D">
        <w:trPr>
          <w:trHeight w:val="411"/>
        </w:trPr>
        <w:tc>
          <w:tcPr>
            <w:tcW w:w="9404" w:type="dxa"/>
            <w:gridSpan w:val="2"/>
            <w:shd w:val="clear" w:color="auto" w:fill="2B3957" w:themeFill="accent2"/>
            <w:vAlign w:val="bottom"/>
          </w:tcPr>
          <w:p w14:paraId="190EE017" w14:textId="77777777" w:rsidR="002A7473" w:rsidRPr="00C7687C" w:rsidRDefault="002A7473" w:rsidP="00F14046">
            <w:pPr>
              <w:pStyle w:val="TableHeader0"/>
              <w:jc w:val="center"/>
              <w:rPr>
                <w:rFonts w:eastAsia="MS Mincho"/>
                <w:sz w:val="20"/>
                <w:szCs w:val="20"/>
              </w:rPr>
            </w:pPr>
            <w:r w:rsidRPr="00C7687C">
              <w:t>External Risk</w:t>
            </w:r>
          </w:p>
        </w:tc>
      </w:tr>
      <w:tr w:rsidR="002A7473" w:rsidRPr="00C7687C" w14:paraId="6BA8CEEF" w14:textId="77777777" w:rsidTr="00215B6D">
        <w:trPr>
          <w:trHeight w:val="387"/>
        </w:trPr>
        <w:tc>
          <w:tcPr>
            <w:tcW w:w="6834" w:type="dxa"/>
            <w:shd w:val="clear" w:color="auto" w:fill="F2F2F2"/>
            <w:vAlign w:val="bottom"/>
          </w:tcPr>
          <w:p w14:paraId="1E1D27FA" w14:textId="77777777" w:rsidR="002A7473" w:rsidRPr="00C7687C" w:rsidRDefault="002A7473" w:rsidP="00F14046">
            <w:pPr>
              <w:pStyle w:val="TableText"/>
              <w:rPr>
                <w:rFonts w:eastAsia="SimSun"/>
              </w:rPr>
            </w:pPr>
            <w:r w:rsidRPr="00C7687C">
              <w:t xml:space="preserve">Total External Risk (LT + CE + PC) </w:t>
            </w:r>
          </w:p>
          <w:p w14:paraId="5F9352F9" w14:textId="77777777" w:rsidR="002A7473" w:rsidRPr="00C7687C" w:rsidRDefault="002A7473" w:rsidP="00F14046">
            <w:pPr>
              <w:pStyle w:val="TableText"/>
              <w:rPr>
                <w:rFonts w:eastAsia="MS Mincho"/>
                <w:lang w:eastAsia="ja-JP"/>
              </w:rPr>
            </w:pPr>
            <w:r w:rsidRPr="00C7687C">
              <w:t>Total may not be less than zero.</w:t>
            </w:r>
          </w:p>
        </w:tc>
        <w:tc>
          <w:tcPr>
            <w:tcW w:w="2570" w:type="dxa"/>
            <w:shd w:val="clear" w:color="auto" w:fill="F2F2F2"/>
            <w:vAlign w:val="center"/>
          </w:tcPr>
          <w:p w14:paraId="31E2FA4B" w14:textId="35963F7E" w:rsidR="002A7473" w:rsidRPr="00C7687C" w:rsidRDefault="00FA4298" w:rsidP="00F14046">
            <w:pPr>
              <w:pStyle w:val="TableText"/>
              <w:rPr>
                <w:rFonts w:eastAsia="MS Mincho"/>
                <w:lang w:eastAsia="ja-JP"/>
              </w:rPr>
            </w:pPr>
            <w:r>
              <w:rPr>
                <w:rFonts w:eastAsia="MS Mincho"/>
                <w:lang w:eastAsia="ja-JP"/>
              </w:rPr>
              <w:t>0</w:t>
            </w:r>
          </w:p>
        </w:tc>
      </w:tr>
    </w:tbl>
    <w:p w14:paraId="4659B0A2" w14:textId="77777777" w:rsidR="002A7473" w:rsidRPr="002A7473" w:rsidRDefault="002A7473" w:rsidP="002A7473"/>
    <w:p w14:paraId="22C8FB5F" w14:textId="4EB82735" w:rsidR="002A7473" w:rsidRDefault="002A7473" w:rsidP="002A7473">
      <w:pPr>
        <w:pStyle w:val="Heading1"/>
      </w:pPr>
      <w:bookmarkStart w:id="13" w:name="_Toc19445293"/>
      <w:r>
        <w:t>Natural Risks</w:t>
      </w:r>
      <w:bookmarkEnd w:id="13"/>
    </w:p>
    <w:p w14:paraId="25CA05D9" w14:textId="77777777" w:rsidR="002A7473" w:rsidRPr="004E08C2" w:rsidRDefault="002A7473" w:rsidP="002A7473">
      <w:pPr>
        <w:pStyle w:val="Instruction"/>
      </w:pPr>
      <w:r w:rsidRPr="004E08C2">
        <w:t>Explain the significance and likelihood of the natural risk and any mitigation activities implemented</w:t>
      </w:r>
      <w:r>
        <w:t>, (copy table for each natural risk)</w:t>
      </w:r>
      <w:r w:rsidRPr="004E08C2">
        <w:t xml:space="preserve">.  </w:t>
      </w:r>
    </w:p>
    <w:tbl>
      <w:tblPr>
        <w:tblW w:w="8640" w:type="dxa"/>
        <w:tblInd w:w="720" w:type="dxa"/>
        <w:tblBorders>
          <w:insideH w:val="single" w:sz="4" w:space="0" w:color="FFFFFF" w:themeColor="background1"/>
          <w:insideV w:val="single" w:sz="4" w:space="0" w:color="FFFFFF" w:themeColor="background1"/>
        </w:tblBorders>
        <w:tblLook w:val="01E0" w:firstRow="1" w:lastRow="1" w:firstColumn="1" w:lastColumn="1" w:noHBand="0" w:noVBand="0"/>
      </w:tblPr>
      <w:tblGrid>
        <w:gridCol w:w="1823"/>
        <w:gridCol w:w="6817"/>
      </w:tblGrid>
      <w:tr w:rsidR="002A7473" w:rsidRPr="00C7687C" w14:paraId="42FDB4C2" w14:textId="77777777" w:rsidTr="00215B6D">
        <w:tc>
          <w:tcPr>
            <w:tcW w:w="5000" w:type="pct"/>
            <w:gridSpan w:val="2"/>
            <w:shd w:val="clear" w:color="auto" w:fill="2B3957" w:themeFill="accent2"/>
          </w:tcPr>
          <w:p w14:paraId="6887F638" w14:textId="04852330" w:rsidR="002A7473" w:rsidRPr="00C7687C" w:rsidRDefault="002A7473" w:rsidP="005F3498">
            <w:pPr>
              <w:pStyle w:val="TableHeader0"/>
              <w:jc w:val="center"/>
            </w:pPr>
            <w:r w:rsidRPr="00C7687C">
              <w:t>Natural Risk (Fire)</w:t>
            </w:r>
          </w:p>
        </w:tc>
      </w:tr>
      <w:tr w:rsidR="002A7473" w:rsidRPr="00C7687C" w14:paraId="6FA9C306" w14:textId="77777777" w:rsidTr="00215B6D">
        <w:tc>
          <w:tcPr>
            <w:tcW w:w="1055" w:type="pct"/>
            <w:shd w:val="clear" w:color="auto" w:fill="F2F2F2"/>
          </w:tcPr>
          <w:p w14:paraId="1A0C5E54" w14:textId="77777777" w:rsidR="002A7473" w:rsidRPr="00C7687C" w:rsidRDefault="002A7473" w:rsidP="005F3498">
            <w:pPr>
              <w:pStyle w:val="TableText"/>
            </w:pPr>
            <w:r w:rsidRPr="00C7687C">
              <w:t>Significance</w:t>
            </w:r>
          </w:p>
        </w:tc>
        <w:tc>
          <w:tcPr>
            <w:tcW w:w="3945" w:type="pct"/>
            <w:shd w:val="clear" w:color="auto" w:fill="F2F2F2"/>
          </w:tcPr>
          <w:p w14:paraId="678B8CE9" w14:textId="59928788" w:rsidR="002A7473" w:rsidRPr="00B15582" w:rsidRDefault="00CF219B" w:rsidP="005F3498">
            <w:pPr>
              <w:pStyle w:val="TableText"/>
            </w:pPr>
            <w:r w:rsidRPr="00F3712D">
              <w:rPr>
                <w:noProof/>
                <w:szCs w:val="20"/>
              </w:rPr>
              <w:t>It is not common to have natural fires in peatland forest areas where water table levels remain high.</w:t>
            </w:r>
            <w:r w:rsidRPr="00F3712D">
              <w:rPr>
                <w:noProof/>
                <w:szCs w:val="20"/>
              </w:rPr>
              <w:fldChar w:fldCharType="begin" w:fldLock="1"/>
            </w:r>
            <w:r w:rsidRPr="00F3712D">
              <w:rPr>
                <w:noProof/>
                <w:szCs w:val="20"/>
              </w:rPr>
              <w:instrText>ADDIN CSL_CITATION {"citationItems":[{"id":"ITEM-1","itemData":{"abstract":"Southern Australia killed over 180 people and razed around 0.5Mha of land. Forest fires are also a major problem in Indonesia where, though not a new phenomenon , their frequency and severity are increasing; indeed, the uncontrolled burning of large areas of land and the associated haze are now an almost annual problem. Most of these fires occur in Ka-limantan and Sumatra, which have the world's largest areas of tropical peatland. These fires are a man-made disaster: the effects on wildlife, human health, the re-gion's economy, and local and global climate are immense. Despite this, local peo-ple's awareness of the impact of the fires remains low, water-management policies are frequently inappropriate and local expertise in fire control is often ignored by government and donors. Meanwhile, international awareness of the problem, pressure on the Indonesian government and aid are insufficient.","author":[{"dropping-particle":"","family":"Harrison","given":"Mark E","non-dropping-particle":"","parse-names":false,"suffix":""},{"dropping-particle":"","family":"Page","given":"Susan E","non-dropping-particle":"","parse-names":false,"suffix":""},{"dropping-particle":"","family":"Limin","given":"Suwido H","non-dropping-particle":"","parse-names":false,"suffix":""}],"container-title":"Biologist","id":"ITEM-1","issue":"3","issued":{"date-parts":[["2009"]]},"page":"156-163","title":"The global impact of Indonesian forest fires","type":"article-journal","volume":"56"},"uris":["http://www.mendeley.com/documents/?uuid=2a59ad2a-0e27-4ba7-96c3-e526b9c30919"]},{"id":"ITEM-2","itemData":{"DOI":"10.17528/cifor/001552","ISBN":"ISSN 0854-9818","ISSN":"ISSN 0854-9818","PMID":"17059032","author":[{"dropping-particle":"","family":"Tacconi","given":"Luca","non-dropping-particle":"","parse-names":false,"suffix":""}],"container-title":"Center for International Forestry Research (CIFOR)","id":"ITEM-2","issue":"38","issued":{"date-parts":[["2015"]]},"title":"Fires in Indonesia: causes, costs and policy implications","type":"article-journal"},"uris":["http://www.mendeley.com/documents/?uuid=5e321c58-1ad7-4413-877a-63592076e2e5"]},{"id":"ITEM-3","itemData":{"DOI":"10.1007/s11027-006-9047-4","ISSN":"13812386","abstract":"There was a widespread misconception about the causes of vegetation and land fires in Indonesia. At a certain point, the public perceived that fires and the associated haze pollution were primarily caused by smallholders' agricultural activities. In fact, there was a variety of land-use activities including large-scale land clearing following deforestation for further land development. El Nio events and the associated dry weather were sometimes quoted by officials and the media as the cause of fires. The fire episodes from 1980 to 2000 were analysed in connection with climate anomalies and the implementation of land-use policies related to forest conversions. The analysis employs long-term climatic and sea surface temperature data to reconstruct climate distributions and anomalies including Southern Oscillation Index (SOI), Sea Surface Temperature (SST) and Outgoing Long-wave Radiation (OLR). In this study, the terrestrial carbon emissions from vegetation fires were estimated based on official statistical data on area burnt. The possible incentives for sustainable land management were discussed in the light of fire prevention. The underlying cause neglected in the discussion of Indonesian vegetation fires was forest and land development policy. Legitimated in the early 1980s, it drove massive forest conversions and the use of fires for land clearing. El Nio Southern Oscillation (ENSO) provided dry weather suitable for biomass burning and widespread fire, but it was hardly the cause of fires. The estimate of area burnt in the big fires in 1997 was about 11.6 Mha, resulting in carbon release of 1.45 Gt, equivalent to 0.73 ppmv of CO2, or almost half the annual global atmospheric CO2 growth. Based on the current carbon market price such emissions by the 1997 fire episode were worth around US$ 3.6 billion.","author":[{"dropping-particle":"","family":"Murdiyarso","given":"Daniel","non-dropping-particle":"","parse-names":false,"suffix":""},{"dropping-particle":"","family":"Adiningsih","given":"Erna S.","non-dropping-particle":"","parse-names":false,"suffix":""}],"container-title":"Mitigation and Adaptation Strategies for Global Change","id":"ITEM-3","issue":"1","issued":{"date-parts":[["2007"]]},"page":"101-112","title":"Climate anomalies, Indonesian vegetation fires and terrestrial carbon emissions","type":"article-journal","volume":"12"},"uris":["http://www.mendeley.com/documents/?uuid=4f5f4734-2434-4bea-bce7-513b2fccc66c"]}],"mendeley":{"formattedCitation":"&lt;sup&gt;1–3&lt;/sup&gt;","plainTextFormattedCitation":"1–3","previouslyFormattedCitation":"&lt;sup&gt;1–3&lt;/sup&gt;"},"properties":{"noteIndex":0},"schema":"https://github.com/citation-style-language/schema/raw/master/csl-citation.json"}</w:instrText>
            </w:r>
            <w:r w:rsidRPr="00F3712D">
              <w:rPr>
                <w:noProof/>
                <w:szCs w:val="20"/>
              </w:rPr>
              <w:fldChar w:fldCharType="separate"/>
            </w:r>
            <w:r w:rsidRPr="00F3712D">
              <w:rPr>
                <w:noProof/>
                <w:szCs w:val="20"/>
                <w:vertAlign w:val="superscript"/>
              </w:rPr>
              <w:t>1–3</w:t>
            </w:r>
            <w:r w:rsidRPr="00F3712D">
              <w:rPr>
                <w:noProof/>
                <w:szCs w:val="20"/>
              </w:rPr>
              <w:fldChar w:fldCharType="end"/>
            </w:r>
            <w:r w:rsidRPr="00F3712D">
              <w:rPr>
                <w:noProof/>
                <w:szCs w:val="20"/>
              </w:rPr>
              <w:t xml:space="preserve"> However anthropogenic fires are common in degraded peatland areas, especially in El Niño years.</w:t>
            </w:r>
            <w:r w:rsidRPr="00F3712D">
              <w:rPr>
                <w:noProof/>
                <w:szCs w:val="20"/>
              </w:rPr>
              <w:fldChar w:fldCharType="begin" w:fldLock="1"/>
            </w:r>
            <w:r w:rsidRPr="00F3712D">
              <w:rPr>
                <w:noProof/>
                <w:szCs w:val="20"/>
              </w:rPr>
              <w:instrText>ADDIN CSL_CITATION {"citationItems":[{"id":"ITEM-1","itemData":{"DOI":"10.1088/1755-1315/149/1/012027","ISSN":"17551315","abstract":"© Published under licence by IOP Publishing Ltd. Peat fires have been a severe recurrent problem for Indonesia, but droughts due to prolonged dry season aggravate burning conditions. To get a better understanding of this issue, we studied fire conditions in a portion of the ex-Mega Rice Project (MRP) area, Central Kalimantan. To examine fire season and hydrology factors affecting peat fires we analyzed daily TRMM data, Nino 3.4 SST Anomalies, and changing groundwater levels (GWL) from 300 dipwells. Our results quantify time-lags between the period of lowest precipitation and the lowest GWL; providing some ability to predict fire risk in advance of the lowest GWL. The rise of Nino 3.4 SST anomalies is significant risk factors for peat fire as they signify dry months which may yield large fire occurrences. GWL in 2011 was lower than in 2012, but fires were more frequent in 2012, indicating that low precipitation amounts in t he wet season of 2011/2012 left the peat in a dry condition early in 2012. Most of the fires occurred in areas with GWL less than -30 cm, powerfully illustrating the importance of maintaining GWL at more than -10 cm, to prevent degraded peatlands from experiencing surface and deep peat fires.","author":[{"dropping-particle":"","family":"Putra","given":"E. I.","non-dropping-particle":"","parse-names":false,"suffix":""},{"dropping-particle":"","family":"Cochrane","given":"M. A.","non-dropping-particle":"","parse-names":false,"suffix":""},{"dropping-particle":"","family":"Vetrita","given":"Y.","non-dropping-particle":"","parse-names":false,"suffix":""},{"dropping-particle":"","family":"Graham","given":"L.","non-dropping-particle":"","parse-names":false,"suffix":""},{"dropping-particle":"","family":"Saharjo","given":"B. H.","non-dropping-particle":"","parse-names":false,"suffix":""}],"container-title":"IOP Conference Series: Earth and Environmental Science","id":"ITEM-1","issue":"1","issued":{"date-parts":[["2018"]]},"title":"Determining critical groundwater level to prevent degraded peatland from severe peat fire","type":"article-journal","volume":"149"},"uris":["http://www.mendeley.com/documents/?uuid=e41a66d0-cb84-4906-9f72-91b89660145e"]}],"mendeley":{"formattedCitation":"&lt;sup&gt;4&lt;/sup&gt;","plainTextFormattedCitation":"4","previouslyFormattedCitation":"&lt;sup&gt;4&lt;/sup&gt;"},"properties":{"noteIndex":0},"schema":"https://github.com/citation-style-language/schema/raw/master/csl-citation.json"}</w:instrText>
            </w:r>
            <w:r w:rsidRPr="00F3712D">
              <w:rPr>
                <w:noProof/>
                <w:szCs w:val="20"/>
              </w:rPr>
              <w:fldChar w:fldCharType="separate"/>
            </w:r>
            <w:r w:rsidRPr="00F3712D">
              <w:rPr>
                <w:noProof/>
                <w:szCs w:val="20"/>
                <w:vertAlign w:val="superscript"/>
              </w:rPr>
              <w:t>4</w:t>
            </w:r>
            <w:r w:rsidRPr="00F3712D">
              <w:rPr>
                <w:noProof/>
                <w:szCs w:val="20"/>
              </w:rPr>
              <w:fldChar w:fldCharType="end"/>
            </w:r>
            <w:r w:rsidRPr="00F3712D">
              <w:rPr>
                <w:noProof/>
                <w:szCs w:val="20"/>
              </w:rPr>
              <w:t xml:space="preserve"> Fires </w:t>
            </w:r>
            <w:r w:rsidRPr="00F3712D">
              <w:rPr>
                <w:noProof/>
                <w:szCs w:val="20"/>
              </w:rPr>
              <w:lastRenderedPageBreak/>
              <w:t xml:space="preserve">have occurred more frequently than every 10 years in the project area. It should be noted that these fires occurred in years before active hydrology management and forest patrols were implemented to raise the water table and reduce fire risk. </w:t>
            </w:r>
          </w:p>
        </w:tc>
      </w:tr>
      <w:tr w:rsidR="002A7473" w:rsidRPr="00C7687C" w14:paraId="10818B5F" w14:textId="77777777" w:rsidTr="00215B6D">
        <w:tc>
          <w:tcPr>
            <w:tcW w:w="1055" w:type="pct"/>
            <w:shd w:val="clear" w:color="auto" w:fill="F2F2F2"/>
          </w:tcPr>
          <w:p w14:paraId="5EABAB19" w14:textId="77777777" w:rsidR="002A7473" w:rsidRPr="00C7687C" w:rsidRDefault="002A7473" w:rsidP="005F3498">
            <w:pPr>
              <w:pStyle w:val="TableText"/>
            </w:pPr>
            <w:r w:rsidRPr="00C7687C">
              <w:lastRenderedPageBreak/>
              <w:t>Likelihood</w:t>
            </w:r>
          </w:p>
        </w:tc>
        <w:tc>
          <w:tcPr>
            <w:tcW w:w="3945" w:type="pct"/>
            <w:shd w:val="clear" w:color="auto" w:fill="F2F2F2"/>
          </w:tcPr>
          <w:p w14:paraId="7ACFC9E7" w14:textId="5D084EC2" w:rsidR="002A7473" w:rsidRPr="00B15582" w:rsidRDefault="00CF219B" w:rsidP="005F3498">
            <w:pPr>
              <w:pStyle w:val="TableText"/>
            </w:pPr>
            <w:r w:rsidRPr="00F3712D">
              <w:rPr>
                <w:noProof/>
                <w:szCs w:val="20"/>
              </w:rPr>
              <w:t>Natural fires do not occur on undisturbed peatlands due to naturally high-water table levels. Natural fires only occur in the incident of lightening and in the tropics, lightening is consistently accompanied by heavy rain. Therefore, the likelihood of a natural fire starting in the project area is minimal. As mentioned earlier, anthropogenic causes of fire such as discarded cigarettes, flying embers from cooking fires, or fires used for cleaning agricultural fields are real sources of fire risk in the project zone. These anthropogenic risks for fire are assessed under “external risks”. This project is also implementing significant fire mitigation activities such as hydrology management, forest patrols, and early warning fire detection systems.</w:t>
            </w:r>
          </w:p>
        </w:tc>
      </w:tr>
      <w:tr w:rsidR="002A7473" w:rsidRPr="00C7687C" w14:paraId="1DC026B6" w14:textId="77777777" w:rsidTr="00215B6D">
        <w:tc>
          <w:tcPr>
            <w:tcW w:w="1055" w:type="pct"/>
            <w:shd w:val="clear" w:color="auto" w:fill="F2F2F2"/>
          </w:tcPr>
          <w:p w14:paraId="54CC7714" w14:textId="77777777" w:rsidR="002A7473" w:rsidRPr="00C7687C" w:rsidRDefault="002A7473" w:rsidP="005F3498">
            <w:pPr>
              <w:pStyle w:val="TableText"/>
            </w:pPr>
            <w:r w:rsidRPr="00C7687C">
              <w:t>Score (LS)</w:t>
            </w:r>
          </w:p>
        </w:tc>
        <w:tc>
          <w:tcPr>
            <w:tcW w:w="3945" w:type="pct"/>
            <w:shd w:val="clear" w:color="auto" w:fill="F2F2F2"/>
          </w:tcPr>
          <w:p w14:paraId="4301239D" w14:textId="70CBE5EE" w:rsidR="002A7473" w:rsidRPr="00B15582" w:rsidRDefault="00CF219B" w:rsidP="005F3498">
            <w:pPr>
              <w:pStyle w:val="TableText"/>
            </w:pPr>
            <w:r>
              <w:t>2</w:t>
            </w:r>
          </w:p>
        </w:tc>
      </w:tr>
      <w:tr w:rsidR="002A7473" w:rsidRPr="00C7687C" w14:paraId="383ABB33" w14:textId="77777777" w:rsidTr="00215B6D">
        <w:tc>
          <w:tcPr>
            <w:tcW w:w="1055" w:type="pct"/>
            <w:shd w:val="clear" w:color="auto" w:fill="F2F2F2"/>
          </w:tcPr>
          <w:p w14:paraId="6F99E470" w14:textId="77777777" w:rsidR="002A7473" w:rsidRPr="00C7687C" w:rsidRDefault="002A7473" w:rsidP="005F3498">
            <w:pPr>
              <w:pStyle w:val="TableText"/>
            </w:pPr>
            <w:r w:rsidRPr="00C7687C">
              <w:t>Mitigation</w:t>
            </w:r>
          </w:p>
        </w:tc>
        <w:tc>
          <w:tcPr>
            <w:tcW w:w="3945" w:type="pct"/>
            <w:shd w:val="clear" w:color="auto" w:fill="F2F2F2"/>
          </w:tcPr>
          <w:p w14:paraId="7DDD9219" w14:textId="5717E1F0" w:rsidR="002A7473" w:rsidRPr="00B15582" w:rsidRDefault="00CF219B" w:rsidP="005F3498">
            <w:pPr>
              <w:pStyle w:val="TableText"/>
            </w:pPr>
            <w:r>
              <w:t>0.5</w:t>
            </w:r>
          </w:p>
        </w:tc>
      </w:tr>
    </w:tbl>
    <w:p w14:paraId="402C5F94" w14:textId="7BB4FE56" w:rsidR="002A7473" w:rsidRDefault="002A7473" w:rsidP="002A7473"/>
    <w:tbl>
      <w:tblPr>
        <w:tblW w:w="8640" w:type="dxa"/>
        <w:tblInd w:w="720" w:type="dxa"/>
        <w:tblBorders>
          <w:insideH w:val="single" w:sz="4" w:space="0" w:color="FFFFFF" w:themeColor="background1"/>
          <w:insideV w:val="single" w:sz="4" w:space="0" w:color="FFFFFF" w:themeColor="background1"/>
        </w:tblBorders>
        <w:tblLook w:val="01E0" w:firstRow="1" w:lastRow="1" w:firstColumn="1" w:lastColumn="1" w:noHBand="0" w:noVBand="0"/>
      </w:tblPr>
      <w:tblGrid>
        <w:gridCol w:w="1823"/>
        <w:gridCol w:w="6817"/>
      </w:tblGrid>
      <w:tr w:rsidR="00CF219B" w:rsidRPr="00C7687C" w14:paraId="76F3A5F6" w14:textId="77777777" w:rsidTr="00CA3730">
        <w:tc>
          <w:tcPr>
            <w:tcW w:w="5000" w:type="pct"/>
            <w:gridSpan w:val="2"/>
            <w:shd w:val="clear" w:color="auto" w:fill="2B3957" w:themeFill="accent2"/>
          </w:tcPr>
          <w:p w14:paraId="0B4F2964" w14:textId="65928593" w:rsidR="00CF219B" w:rsidRPr="00C7687C" w:rsidRDefault="00CF219B" w:rsidP="00CA3730">
            <w:pPr>
              <w:pStyle w:val="TableHeader0"/>
              <w:jc w:val="center"/>
            </w:pPr>
            <w:r w:rsidRPr="00C7687C">
              <w:t xml:space="preserve">Natural Risk (Pest and Disease </w:t>
            </w:r>
            <w:r>
              <w:t>O</w:t>
            </w:r>
            <w:r w:rsidRPr="00C7687C">
              <w:t>utbreak)</w:t>
            </w:r>
          </w:p>
        </w:tc>
      </w:tr>
      <w:tr w:rsidR="00CF219B" w:rsidRPr="00C7687C" w14:paraId="3640B201" w14:textId="77777777" w:rsidTr="00CA3730">
        <w:tc>
          <w:tcPr>
            <w:tcW w:w="1055" w:type="pct"/>
            <w:shd w:val="clear" w:color="auto" w:fill="F2F2F2"/>
          </w:tcPr>
          <w:p w14:paraId="7C32B6E4" w14:textId="77777777" w:rsidR="00CF219B" w:rsidRPr="00C7687C" w:rsidRDefault="00CF219B" w:rsidP="00CA3730">
            <w:pPr>
              <w:pStyle w:val="TableText"/>
            </w:pPr>
            <w:r w:rsidRPr="00C7687C">
              <w:t>Significance</w:t>
            </w:r>
          </w:p>
        </w:tc>
        <w:tc>
          <w:tcPr>
            <w:tcW w:w="3945" w:type="pct"/>
            <w:shd w:val="clear" w:color="auto" w:fill="F2F2F2"/>
          </w:tcPr>
          <w:p w14:paraId="409F31A7" w14:textId="52BAFD1B" w:rsidR="00CF219B" w:rsidRPr="00B15582" w:rsidRDefault="00CF219B" w:rsidP="00CA3730">
            <w:pPr>
              <w:pStyle w:val="TableText"/>
            </w:pPr>
            <w:r>
              <w:rPr>
                <w:noProof/>
                <w:szCs w:val="20"/>
              </w:rPr>
              <w:t>A pest or disease outbreak would only impact above ground carbon stock and not the peat layer. Since the project’s carbon stocks are primarily from the peat layer, which is the major carbon pool, this risk would not have a significant impact on the project’s overall carbon stocks. However a pest or disease outbreak could have a significant impact on above ground carbon stocks if it were to occur.</w:t>
            </w:r>
          </w:p>
        </w:tc>
      </w:tr>
      <w:tr w:rsidR="00CF219B" w:rsidRPr="00C7687C" w14:paraId="4D06FB61" w14:textId="77777777" w:rsidTr="00CA3730">
        <w:tc>
          <w:tcPr>
            <w:tcW w:w="1055" w:type="pct"/>
            <w:shd w:val="clear" w:color="auto" w:fill="F2F2F2"/>
          </w:tcPr>
          <w:p w14:paraId="6AF99E23" w14:textId="77777777" w:rsidR="00CF219B" w:rsidRPr="00C7687C" w:rsidRDefault="00CF219B" w:rsidP="00CA3730">
            <w:pPr>
              <w:pStyle w:val="TableText"/>
            </w:pPr>
            <w:r w:rsidRPr="00C7687C">
              <w:t>Likelihood</w:t>
            </w:r>
          </w:p>
        </w:tc>
        <w:tc>
          <w:tcPr>
            <w:tcW w:w="3945" w:type="pct"/>
            <w:shd w:val="clear" w:color="auto" w:fill="F2F2F2"/>
          </w:tcPr>
          <w:p w14:paraId="05349363" w14:textId="3F7BE762" w:rsidR="00CF219B" w:rsidRPr="00CF219B" w:rsidRDefault="00CF219B" w:rsidP="00CF219B">
            <w:pPr>
              <w:pStyle w:val="NormalWeb"/>
              <w:spacing w:line="276" w:lineRule="auto"/>
              <w:jc w:val="both"/>
              <w:rPr>
                <w:rFonts w:ascii="Arial" w:hAnsi="Arial" w:cs="Arial"/>
                <w:noProof/>
                <w:sz w:val="20"/>
                <w:szCs w:val="20"/>
              </w:rPr>
            </w:pPr>
            <w:r>
              <w:rPr>
                <w:rFonts w:ascii="Arial" w:hAnsi="Arial" w:cs="Arial"/>
                <w:noProof/>
                <w:sz w:val="20"/>
                <w:szCs w:val="20"/>
              </w:rPr>
              <w:t>The likelihood of non-permanence from pests and diseases is low, as there has never been any report of a disease or pest outbreak event in any peatland forest area in Indonesia.</w:t>
            </w:r>
            <w:r>
              <w:rPr>
                <w:rStyle w:val="FootnoteReference"/>
                <w:rFonts w:cs="Arial"/>
                <w:noProof/>
                <w:szCs w:val="20"/>
              </w:rPr>
              <w:footnoteReference w:id="2"/>
            </w:r>
            <w:r>
              <w:rPr>
                <w:rFonts w:ascii="Arial" w:hAnsi="Arial" w:cs="Arial"/>
                <w:noProof/>
                <w:sz w:val="20"/>
                <w:szCs w:val="20"/>
              </w:rPr>
              <w:t xml:space="preserve"> No evidence of pests and disease threatening below-ground peat ecosystems has been found. For the emissions reductions that will be generated from above-grounf biomass through reforestation, the likelihood of an outbreak is also low due to reforestation-tree species diversity. Large parts of the project area will be reforested with seeds and seedlings of native tree species taken from the only remaining patch of dense forest (232 ha) in the project area. After several pioneer species have established themselves, other canopy and emergent tree species will further increase tree diversity in the reforested areas. Using a diverse array of reforestation species has been shown to </w:t>
            </w:r>
            <w:r>
              <w:rPr>
                <w:rFonts w:ascii="Arial" w:hAnsi="Arial" w:cs="Arial"/>
                <w:noProof/>
                <w:sz w:val="20"/>
                <w:szCs w:val="20"/>
              </w:rPr>
              <w:lastRenderedPageBreak/>
              <w:t>reduce the risk of non-permanence from pests (e.g., herbivorous small mammals and insects) and fungal diseases.</w:t>
            </w:r>
            <w:r>
              <w:rPr>
                <w:rStyle w:val="FootnoteReference"/>
                <w:rFonts w:cs="Arial"/>
                <w:noProof/>
                <w:szCs w:val="20"/>
              </w:rPr>
              <w:footnoteReference w:id="3"/>
            </w:r>
          </w:p>
        </w:tc>
      </w:tr>
      <w:tr w:rsidR="00CF219B" w:rsidRPr="00C7687C" w14:paraId="1DD0F36A" w14:textId="77777777" w:rsidTr="00CA3730">
        <w:tc>
          <w:tcPr>
            <w:tcW w:w="1055" w:type="pct"/>
            <w:shd w:val="clear" w:color="auto" w:fill="F2F2F2"/>
          </w:tcPr>
          <w:p w14:paraId="1FE69DD8" w14:textId="77777777" w:rsidR="00CF219B" w:rsidRPr="00C7687C" w:rsidRDefault="00CF219B" w:rsidP="00CA3730">
            <w:pPr>
              <w:pStyle w:val="TableText"/>
            </w:pPr>
            <w:r w:rsidRPr="00C7687C">
              <w:lastRenderedPageBreak/>
              <w:t>Score (LS)</w:t>
            </w:r>
          </w:p>
        </w:tc>
        <w:tc>
          <w:tcPr>
            <w:tcW w:w="3945" w:type="pct"/>
            <w:shd w:val="clear" w:color="auto" w:fill="F2F2F2"/>
          </w:tcPr>
          <w:p w14:paraId="6D4226A2" w14:textId="0F686C80" w:rsidR="00CF219B" w:rsidRPr="00B15582" w:rsidRDefault="00CF219B" w:rsidP="00CA3730">
            <w:pPr>
              <w:pStyle w:val="TableText"/>
            </w:pPr>
            <w:r>
              <w:t>0</w:t>
            </w:r>
          </w:p>
        </w:tc>
      </w:tr>
      <w:tr w:rsidR="00CF219B" w:rsidRPr="00C7687C" w14:paraId="59F3BDC3" w14:textId="77777777" w:rsidTr="00CA3730">
        <w:tc>
          <w:tcPr>
            <w:tcW w:w="1055" w:type="pct"/>
            <w:shd w:val="clear" w:color="auto" w:fill="F2F2F2"/>
          </w:tcPr>
          <w:p w14:paraId="7416E5F9" w14:textId="77777777" w:rsidR="00CF219B" w:rsidRPr="00C7687C" w:rsidRDefault="00CF219B" w:rsidP="00CA3730">
            <w:pPr>
              <w:pStyle w:val="TableText"/>
            </w:pPr>
            <w:r w:rsidRPr="00C7687C">
              <w:t>Mitigation</w:t>
            </w:r>
          </w:p>
        </w:tc>
        <w:tc>
          <w:tcPr>
            <w:tcW w:w="3945" w:type="pct"/>
            <w:shd w:val="clear" w:color="auto" w:fill="F2F2F2"/>
          </w:tcPr>
          <w:p w14:paraId="2D8171B3" w14:textId="25B99451" w:rsidR="00CF219B" w:rsidRPr="00B15582" w:rsidRDefault="00CF219B" w:rsidP="00CA3730">
            <w:pPr>
              <w:pStyle w:val="TableText"/>
            </w:pPr>
            <w:r>
              <w:t>0.5</w:t>
            </w:r>
          </w:p>
        </w:tc>
      </w:tr>
    </w:tbl>
    <w:p w14:paraId="698E1882" w14:textId="469F978E" w:rsidR="00CF219B" w:rsidRDefault="00CF219B" w:rsidP="002A7473"/>
    <w:tbl>
      <w:tblPr>
        <w:tblW w:w="8640" w:type="dxa"/>
        <w:tblInd w:w="720" w:type="dxa"/>
        <w:tblBorders>
          <w:insideH w:val="single" w:sz="4" w:space="0" w:color="FFFFFF" w:themeColor="background1"/>
          <w:insideV w:val="single" w:sz="4" w:space="0" w:color="FFFFFF" w:themeColor="background1"/>
        </w:tblBorders>
        <w:tblLook w:val="01E0" w:firstRow="1" w:lastRow="1" w:firstColumn="1" w:lastColumn="1" w:noHBand="0" w:noVBand="0"/>
      </w:tblPr>
      <w:tblGrid>
        <w:gridCol w:w="1823"/>
        <w:gridCol w:w="6817"/>
      </w:tblGrid>
      <w:tr w:rsidR="00CF219B" w:rsidRPr="00C7687C" w14:paraId="777DE73B" w14:textId="77777777" w:rsidTr="00CA3730">
        <w:tc>
          <w:tcPr>
            <w:tcW w:w="5000" w:type="pct"/>
            <w:gridSpan w:val="2"/>
            <w:shd w:val="clear" w:color="auto" w:fill="2B3957" w:themeFill="accent2"/>
          </w:tcPr>
          <w:p w14:paraId="766E108D" w14:textId="320EC947" w:rsidR="00CF219B" w:rsidRPr="00C7687C" w:rsidRDefault="00CF219B" w:rsidP="00CA3730">
            <w:pPr>
              <w:pStyle w:val="TableHeader0"/>
              <w:jc w:val="center"/>
            </w:pPr>
            <w:r w:rsidRPr="00C7687C">
              <w:t>Natural Risk (Extreme Weather)</w:t>
            </w:r>
          </w:p>
        </w:tc>
      </w:tr>
      <w:tr w:rsidR="00CF219B" w:rsidRPr="00C7687C" w14:paraId="56D5C8EA" w14:textId="77777777" w:rsidTr="00CA3730">
        <w:tc>
          <w:tcPr>
            <w:tcW w:w="1055" w:type="pct"/>
            <w:shd w:val="clear" w:color="auto" w:fill="F2F2F2"/>
          </w:tcPr>
          <w:p w14:paraId="341CC5EF" w14:textId="77777777" w:rsidR="00CF219B" w:rsidRPr="00C7687C" w:rsidRDefault="00CF219B" w:rsidP="00CA3730">
            <w:pPr>
              <w:pStyle w:val="TableText"/>
            </w:pPr>
            <w:r w:rsidRPr="00C7687C">
              <w:t>Significance</w:t>
            </w:r>
          </w:p>
        </w:tc>
        <w:tc>
          <w:tcPr>
            <w:tcW w:w="3945" w:type="pct"/>
            <w:shd w:val="clear" w:color="auto" w:fill="F2F2F2"/>
          </w:tcPr>
          <w:p w14:paraId="17AECA61" w14:textId="77777777" w:rsidR="00CF219B" w:rsidRPr="00F3712D" w:rsidRDefault="00CF219B" w:rsidP="00CF219B">
            <w:pPr>
              <w:spacing w:before="40" w:after="40" w:line="288" w:lineRule="auto"/>
              <w:rPr>
                <w:rFonts w:cs="Arial"/>
                <w:noProof/>
                <w:szCs w:val="20"/>
              </w:rPr>
            </w:pPr>
            <w:r w:rsidRPr="00F3712D">
              <w:rPr>
                <w:rFonts w:cs="Arial"/>
                <w:noProof/>
                <w:szCs w:val="20"/>
              </w:rPr>
              <w:t>The water table in a peat swamp oscillates between naturally flooded in the rainy season and below but close to the soil surface in the dry season.</w:t>
            </w:r>
            <w:r w:rsidRPr="00F3712D">
              <w:rPr>
                <w:rFonts w:cs="Arial"/>
                <w:noProof/>
                <w:szCs w:val="20"/>
              </w:rPr>
              <w:fldChar w:fldCharType="begin" w:fldLock="1"/>
            </w:r>
            <w:r w:rsidRPr="00F3712D">
              <w:rPr>
                <w:rFonts w:cs="Arial"/>
                <w:noProof/>
                <w:szCs w:val="20"/>
              </w:rPr>
              <w:instrText>ADDIN CSL_CITATION {"citationItems":[{"id":"ITEM-1","itemData":{"ISBN":"9251026572","author":[{"dropping-particle":"","family":"Andriesse","given":"J. P.","non-dropping-particle":"","parse-names":false,"suffix":""}],"id":"ITEM-1","issued":{"date-parts":[["1988"]]},"number-of-pages":"165","publisher":"Food and Agriculture Organization of the United Nations (FAO)","title":"Nature and management of tropical peat soils","type":"book"},"uris":["http://www.mendeley.com/documents/?uuid=1fc5cbf0-49d8-379a-a919-ac1fff8cf87e"]}],"mendeley":{"formattedCitation":"&lt;sup&gt;6&lt;/sup&gt;","plainTextFormattedCitation":"6","previouslyFormattedCitation":"&lt;sup&gt;6&lt;/sup&gt;"},"properties":{"noteIndex":0},"schema":"https://github.com/citation-style-language/schema/raw/master/csl-citation.json"}</w:instrText>
            </w:r>
            <w:r w:rsidRPr="00F3712D">
              <w:rPr>
                <w:rFonts w:cs="Arial"/>
                <w:noProof/>
                <w:szCs w:val="20"/>
              </w:rPr>
              <w:fldChar w:fldCharType="separate"/>
            </w:r>
            <w:r w:rsidRPr="00F3712D">
              <w:rPr>
                <w:rFonts w:cs="Arial"/>
                <w:noProof/>
                <w:szCs w:val="20"/>
                <w:vertAlign w:val="superscript"/>
              </w:rPr>
              <w:t>6</w:t>
            </w:r>
            <w:r w:rsidRPr="00F3712D">
              <w:rPr>
                <w:rFonts w:cs="Arial"/>
                <w:noProof/>
                <w:szCs w:val="20"/>
              </w:rPr>
              <w:fldChar w:fldCharType="end"/>
            </w:r>
            <w:r w:rsidRPr="00F3712D">
              <w:rPr>
                <w:rFonts w:cs="Arial"/>
                <w:noProof/>
                <w:szCs w:val="20"/>
              </w:rPr>
              <w:t xml:space="preserve"> In disturbed peatland areas, the water table level can drop significantly</w:t>
            </w:r>
            <w:r w:rsidRPr="00F3712D">
              <w:rPr>
                <w:rFonts w:cs="Arial"/>
                <w:noProof/>
                <w:szCs w:val="20"/>
              </w:rPr>
              <w:fldChar w:fldCharType="begin" w:fldLock="1"/>
            </w:r>
            <w:r w:rsidRPr="00F3712D">
              <w:rPr>
                <w:rFonts w:cs="Arial"/>
                <w:noProof/>
                <w:szCs w:val="20"/>
              </w:rPr>
              <w:instrText>ADDIN CSL_CITATION {"citationItems":[{"id":"ITEM-1","itemData":{"DOI":"10.1080/07900620500405973","ISSN":"0790-0627","author":[{"dropping-particle":"","family":"Wösten","given":"J. H. M.","non-dropping-particle":"","parse-names":false,"suffix":""},{"dropping-particle":"","family":"Berg","given":"J.","non-dropping-particle":"Van Den","parse-names":false,"suffix":""},{"dropping-particle":"","family":"Eijk","given":"P.","non-dropping-particle":"Van","parse-names":false,"suffix":""},{"dropping-particle":"","family":"Gevers","given":"G. J. M.","non-dropping-particle":"","parse-names":false,"suffix":""},{"dropping-particle":"","family":"Giesen","given":"W. B. J. T.","non-dropping-particle":"","parse-names":false,"suffix":""},{"dropping-particle":"","family":"Hooijer","given":"A.","non-dropping-particle":"","parse-names":false,"suffix":""},{"dropping-particle":"","family":"Idris","given":"Aswandi","non-dropping-particle":"","parse-names":false,"suffix":""},{"dropping-particle":"","family":"Leenman","given":"P. H.","non-dropping-particle":"","parse-names":false,"suffix":""},{"dropping-particle":"","family":"Rais","given":"Dipa Satriadi","non-dropping-particle":"","parse-names":false,"suffix":""},{"dropping-particle":"","family":"Siderius","given":"C.","non-dropping-particle":"","parse-names":false,"suffix":""},{"dropping-particle":"","family":"Silvius","given":"M. J.","non-dropping-particle":"","parse-names":false,"suffix":""},{"dropping-particle":"","family":"Suryadiputra","given":"N.","non-dropping-particle":"","parse-names":false,"suffix":""},{"dropping-particle":"","family":"Wibisono","given":"Iwan Tricahyo","non-dropping-particle":"","parse-names":false,"suffix":""}],"container-title":"International Journal of Water Resources Development","id":"ITEM-1","issue":"1","issued":{"date-parts":[["2006","3"]]},"page":"157-174","title":"Interrelationships between Hydrology and Ecology in Fire Degraded Tropical Peat Swamp Forests","type":"article-journal","volume":"22"},"uris":["http://www.mendeley.com/documents/?uuid=383a695f-e977-3272-b9eb-e8143b0f0e2d"]}],"mendeley":{"formattedCitation":"&lt;sup&gt;7&lt;/sup&gt;","plainTextFormattedCitation":"7","previouslyFormattedCitation":"&lt;sup&gt;7&lt;/sup&gt;"},"properties":{"noteIndex":0},"schema":"https://github.com/citation-style-language/schema/raw/master/csl-citation.json"}</w:instrText>
            </w:r>
            <w:r w:rsidRPr="00F3712D">
              <w:rPr>
                <w:rFonts w:cs="Arial"/>
                <w:noProof/>
                <w:szCs w:val="20"/>
              </w:rPr>
              <w:fldChar w:fldCharType="separate"/>
            </w:r>
            <w:r w:rsidRPr="00F3712D">
              <w:rPr>
                <w:rFonts w:cs="Arial"/>
                <w:noProof/>
                <w:szCs w:val="20"/>
                <w:vertAlign w:val="superscript"/>
              </w:rPr>
              <w:t>7</w:t>
            </w:r>
            <w:r w:rsidRPr="00F3712D">
              <w:rPr>
                <w:rFonts w:cs="Arial"/>
                <w:noProof/>
                <w:szCs w:val="20"/>
              </w:rPr>
              <w:fldChar w:fldCharType="end"/>
            </w:r>
            <w:r w:rsidRPr="00F3712D">
              <w:rPr>
                <w:rFonts w:cs="Arial"/>
                <w:noProof/>
                <w:szCs w:val="20"/>
              </w:rPr>
              <w:t xml:space="preserve"> which can greatly increase the risk of fire of anthropogenic fires. However, the drop in the water table during long droughts does not lead to tree mortality but ferns and non-tree vegetation can die. However, ferns and non-tree vegetation is a very small carbon pool and is therefore not significant.</w:t>
            </w:r>
          </w:p>
          <w:p w14:paraId="4EE23345" w14:textId="2796A29D" w:rsidR="00CF219B" w:rsidRPr="00B15582" w:rsidRDefault="00CF219B" w:rsidP="00CF219B">
            <w:pPr>
              <w:pStyle w:val="TableText"/>
            </w:pPr>
            <w:r w:rsidRPr="00F3712D">
              <w:rPr>
                <w:noProof/>
                <w:szCs w:val="20"/>
              </w:rPr>
              <w:t xml:space="preserve">Flooding is not considered a significant risk since peatland vegetation are naturally adapted to water logged conditions. Further, high rain conditions will reduce fire risks and peat oxidization which will improve the carbon storage of the project. Floods could impact non-tree vegetation, but this is a minimal carbon pool and is considered not significant. </w:t>
            </w:r>
          </w:p>
        </w:tc>
      </w:tr>
      <w:tr w:rsidR="00CF219B" w:rsidRPr="00C7687C" w14:paraId="60EA3128" w14:textId="77777777" w:rsidTr="00CA3730">
        <w:tc>
          <w:tcPr>
            <w:tcW w:w="1055" w:type="pct"/>
            <w:shd w:val="clear" w:color="auto" w:fill="F2F2F2"/>
          </w:tcPr>
          <w:p w14:paraId="62899398" w14:textId="77777777" w:rsidR="00CF219B" w:rsidRPr="00C7687C" w:rsidRDefault="00CF219B" w:rsidP="00CA3730">
            <w:pPr>
              <w:pStyle w:val="TableText"/>
            </w:pPr>
            <w:r w:rsidRPr="00C7687C">
              <w:t>Likelihood</w:t>
            </w:r>
          </w:p>
        </w:tc>
        <w:tc>
          <w:tcPr>
            <w:tcW w:w="3945" w:type="pct"/>
            <w:shd w:val="clear" w:color="auto" w:fill="F2F2F2"/>
          </w:tcPr>
          <w:p w14:paraId="52F01F36" w14:textId="383DDCB8" w:rsidR="00CF219B" w:rsidRPr="00B15582" w:rsidRDefault="00CF219B" w:rsidP="00CA3730">
            <w:pPr>
              <w:pStyle w:val="TableText"/>
            </w:pPr>
            <w:r w:rsidRPr="00F3712D">
              <w:rPr>
                <w:noProof/>
                <w:color w:val="000000"/>
                <w:szCs w:val="20"/>
              </w:rPr>
              <w:t>Droughts and floods may occur less than every ten years.</w:t>
            </w:r>
          </w:p>
        </w:tc>
      </w:tr>
      <w:tr w:rsidR="00CF219B" w:rsidRPr="00C7687C" w14:paraId="5B0CE0F6" w14:textId="77777777" w:rsidTr="00CA3730">
        <w:tc>
          <w:tcPr>
            <w:tcW w:w="1055" w:type="pct"/>
            <w:shd w:val="clear" w:color="auto" w:fill="F2F2F2"/>
          </w:tcPr>
          <w:p w14:paraId="136CC3DE" w14:textId="77777777" w:rsidR="00CF219B" w:rsidRPr="00C7687C" w:rsidRDefault="00CF219B" w:rsidP="00CA3730">
            <w:pPr>
              <w:pStyle w:val="TableText"/>
            </w:pPr>
            <w:r w:rsidRPr="00C7687C">
              <w:t>Score (LS)</w:t>
            </w:r>
          </w:p>
        </w:tc>
        <w:tc>
          <w:tcPr>
            <w:tcW w:w="3945" w:type="pct"/>
            <w:shd w:val="clear" w:color="auto" w:fill="F2F2F2"/>
          </w:tcPr>
          <w:p w14:paraId="4EA2EA8C" w14:textId="18C3FC20" w:rsidR="00CF219B" w:rsidRPr="00B15582" w:rsidRDefault="00CF219B" w:rsidP="00CA3730">
            <w:pPr>
              <w:pStyle w:val="TableText"/>
            </w:pPr>
            <w:r>
              <w:t>0</w:t>
            </w:r>
          </w:p>
        </w:tc>
      </w:tr>
      <w:tr w:rsidR="00CF219B" w:rsidRPr="00C7687C" w14:paraId="428930E0" w14:textId="77777777" w:rsidTr="00CA3730">
        <w:tc>
          <w:tcPr>
            <w:tcW w:w="1055" w:type="pct"/>
            <w:shd w:val="clear" w:color="auto" w:fill="F2F2F2"/>
          </w:tcPr>
          <w:p w14:paraId="181F30FC" w14:textId="77777777" w:rsidR="00CF219B" w:rsidRPr="00C7687C" w:rsidRDefault="00CF219B" w:rsidP="00CA3730">
            <w:pPr>
              <w:pStyle w:val="TableText"/>
            </w:pPr>
            <w:r w:rsidRPr="00C7687C">
              <w:t>Mitigation</w:t>
            </w:r>
          </w:p>
        </w:tc>
        <w:tc>
          <w:tcPr>
            <w:tcW w:w="3945" w:type="pct"/>
            <w:shd w:val="clear" w:color="auto" w:fill="F2F2F2"/>
          </w:tcPr>
          <w:p w14:paraId="7FA6F16F" w14:textId="31AC1AB0" w:rsidR="00CF219B" w:rsidRPr="00B15582" w:rsidRDefault="00CF219B" w:rsidP="00CA3730">
            <w:pPr>
              <w:pStyle w:val="TableText"/>
            </w:pPr>
            <w:r>
              <w:t>1</w:t>
            </w:r>
          </w:p>
        </w:tc>
      </w:tr>
    </w:tbl>
    <w:p w14:paraId="7385FDFF" w14:textId="79E5AEC6" w:rsidR="00CF219B" w:rsidRDefault="00CF219B" w:rsidP="002A7473"/>
    <w:tbl>
      <w:tblPr>
        <w:tblW w:w="8640" w:type="dxa"/>
        <w:tblInd w:w="720" w:type="dxa"/>
        <w:tblBorders>
          <w:insideH w:val="single" w:sz="4" w:space="0" w:color="FFFFFF" w:themeColor="background1"/>
          <w:insideV w:val="single" w:sz="4" w:space="0" w:color="FFFFFF" w:themeColor="background1"/>
        </w:tblBorders>
        <w:tblLook w:val="01E0" w:firstRow="1" w:lastRow="1" w:firstColumn="1" w:lastColumn="1" w:noHBand="0" w:noVBand="0"/>
      </w:tblPr>
      <w:tblGrid>
        <w:gridCol w:w="1823"/>
        <w:gridCol w:w="6817"/>
      </w:tblGrid>
      <w:tr w:rsidR="00CF219B" w:rsidRPr="00C7687C" w14:paraId="56DAE1EE" w14:textId="77777777" w:rsidTr="00CA3730">
        <w:tc>
          <w:tcPr>
            <w:tcW w:w="5000" w:type="pct"/>
            <w:gridSpan w:val="2"/>
            <w:shd w:val="clear" w:color="auto" w:fill="2B3957" w:themeFill="accent2"/>
          </w:tcPr>
          <w:p w14:paraId="67D7A4D1" w14:textId="3B889828" w:rsidR="00CF219B" w:rsidRPr="00C7687C" w:rsidRDefault="00CF219B" w:rsidP="00CA3730">
            <w:pPr>
              <w:pStyle w:val="TableHeader0"/>
              <w:jc w:val="center"/>
            </w:pPr>
            <w:r w:rsidRPr="00C7687C">
              <w:t>Natural Risk (</w:t>
            </w:r>
            <w:r>
              <w:t>Geological Events</w:t>
            </w:r>
            <w:r w:rsidRPr="00C7687C">
              <w:t>)</w:t>
            </w:r>
          </w:p>
        </w:tc>
      </w:tr>
      <w:tr w:rsidR="00CF219B" w:rsidRPr="00C7687C" w14:paraId="0CBEF6E5" w14:textId="77777777" w:rsidTr="00CA3730">
        <w:tc>
          <w:tcPr>
            <w:tcW w:w="1055" w:type="pct"/>
            <w:shd w:val="clear" w:color="auto" w:fill="F2F2F2"/>
          </w:tcPr>
          <w:p w14:paraId="261A58E7" w14:textId="77777777" w:rsidR="00CF219B" w:rsidRPr="00C7687C" w:rsidRDefault="00CF219B" w:rsidP="00CA3730">
            <w:pPr>
              <w:pStyle w:val="TableText"/>
            </w:pPr>
            <w:r w:rsidRPr="00C7687C">
              <w:t>Significance</w:t>
            </w:r>
          </w:p>
        </w:tc>
        <w:tc>
          <w:tcPr>
            <w:tcW w:w="3945" w:type="pct"/>
            <w:shd w:val="clear" w:color="auto" w:fill="F2F2F2"/>
          </w:tcPr>
          <w:p w14:paraId="5BD16FE8" w14:textId="7D0B860D" w:rsidR="00CF219B" w:rsidRPr="00B15582" w:rsidRDefault="00CF219B" w:rsidP="00CA3730">
            <w:pPr>
              <w:pStyle w:val="TableText"/>
            </w:pPr>
            <w:r w:rsidRPr="00F3712D">
              <w:rPr>
                <w:noProof/>
                <w:szCs w:val="20"/>
              </w:rPr>
              <w:t>There isn’t a significant risk from geological events on the project area’s carbon stocks.</w:t>
            </w:r>
          </w:p>
        </w:tc>
      </w:tr>
      <w:tr w:rsidR="00CF219B" w:rsidRPr="00C7687C" w14:paraId="70C948D1" w14:textId="77777777" w:rsidTr="00CA3730">
        <w:tc>
          <w:tcPr>
            <w:tcW w:w="1055" w:type="pct"/>
            <w:shd w:val="clear" w:color="auto" w:fill="F2F2F2"/>
          </w:tcPr>
          <w:p w14:paraId="151259FA" w14:textId="77777777" w:rsidR="00CF219B" w:rsidRPr="00C7687C" w:rsidRDefault="00CF219B" w:rsidP="00CA3730">
            <w:pPr>
              <w:pStyle w:val="TableText"/>
            </w:pPr>
            <w:r w:rsidRPr="00C7687C">
              <w:t>Likelihood</w:t>
            </w:r>
          </w:p>
        </w:tc>
        <w:tc>
          <w:tcPr>
            <w:tcW w:w="3945" w:type="pct"/>
            <w:shd w:val="clear" w:color="auto" w:fill="F2F2F2"/>
          </w:tcPr>
          <w:p w14:paraId="7C129ACB" w14:textId="4E7E3AFA" w:rsidR="00CF219B" w:rsidRPr="00B15582" w:rsidRDefault="00CF219B" w:rsidP="00CA3730">
            <w:pPr>
              <w:pStyle w:val="TableText"/>
            </w:pPr>
            <w:r>
              <w:rPr>
                <w:noProof/>
                <w:szCs w:val="20"/>
              </w:rPr>
              <w:t xml:space="preserve">The island of Sumatra is known to experience numerous geologic, volcanic, and tsunami events; however, these are strongly associated with the western coast of the island where the Great Sumatran Fault and </w:t>
            </w:r>
            <w:r>
              <w:rPr>
                <w:noProof/>
                <w:szCs w:val="20"/>
              </w:rPr>
              <w:lastRenderedPageBreak/>
              <w:t>the Sumatra Subduction Interface are located.</w:t>
            </w:r>
            <w:r>
              <w:rPr>
                <w:rStyle w:val="FootnoteReference"/>
                <w:noProof/>
                <w:szCs w:val="20"/>
              </w:rPr>
              <w:footnoteReference w:id="4"/>
            </w:r>
            <w:r>
              <w:rPr>
                <w:noProof/>
                <w:szCs w:val="20"/>
              </w:rPr>
              <w:t xml:space="preserve"> The eastern side of the island, where project is located, is drastically less geologically active.</w:t>
            </w:r>
            <w:r>
              <w:rPr>
                <w:rStyle w:val="FootnoteReference"/>
                <w:noProof/>
                <w:szCs w:val="20"/>
              </w:rPr>
              <w:footnoteReference w:id="5"/>
            </w:r>
            <w:r>
              <w:rPr>
                <w:noProof/>
                <w:szCs w:val="20"/>
              </w:rPr>
              <w:t xml:space="preserve"> Nevertheless, within the past 100 years 24 earthquakes with a magnitude of 4.5 or higher have been recorded within 200km of the project area.</w:t>
            </w:r>
            <w:r>
              <w:rPr>
                <w:rStyle w:val="FootnoteReference"/>
                <w:noProof/>
                <w:szCs w:val="20"/>
              </w:rPr>
              <w:footnoteReference w:id="6"/>
            </w:r>
            <w:r>
              <w:rPr>
                <w:noProof/>
                <w:szCs w:val="20"/>
              </w:rPr>
              <w:t xml:space="preserve"> Due to the absence of a fault and subduction zone on the easten side of the island, tsunamis are also low risk, especially when compared with risk on the western side of the island.</w:t>
            </w:r>
            <w:r>
              <w:rPr>
                <w:vertAlign w:val="superscript"/>
              </w:rPr>
              <w:footnoteReference w:id="7"/>
            </w:r>
            <w:r>
              <w:rPr>
                <w:noProof/>
                <w:szCs w:val="20"/>
              </w:rPr>
              <w:t xml:space="preserve"> The closest recently active volcano to the project area is Kaba volcano (last erupted in 1833), at a distance of over 200 km.</w:t>
            </w:r>
            <w:r>
              <w:rPr>
                <w:rStyle w:val="FootnoteReference"/>
                <w:noProof/>
                <w:szCs w:val="20"/>
              </w:rPr>
              <w:footnoteReference w:id="8"/>
            </w:r>
            <w:r>
              <w:rPr>
                <w:noProof/>
                <w:szCs w:val="20"/>
              </w:rPr>
              <w:t xml:space="preserve"> To be conservative, the likelihood of event of “less than every 10 years” was selected for this risk due to seismic activity being present in the same province as the project.</w:t>
            </w:r>
          </w:p>
        </w:tc>
      </w:tr>
      <w:tr w:rsidR="00CF219B" w:rsidRPr="00C7687C" w14:paraId="7B03DA00" w14:textId="77777777" w:rsidTr="00CA3730">
        <w:tc>
          <w:tcPr>
            <w:tcW w:w="1055" w:type="pct"/>
            <w:shd w:val="clear" w:color="auto" w:fill="F2F2F2"/>
          </w:tcPr>
          <w:p w14:paraId="74FB697E" w14:textId="77777777" w:rsidR="00CF219B" w:rsidRPr="00C7687C" w:rsidRDefault="00CF219B" w:rsidP="00CA3730">
            <w:pPr>
              <w:pStyle w:val="TableText"/>
            </w:pPr>
            <w:r w:rsidRPr="00C7687C">
              <w:lastRenderedPageBreak/>
              <w:t>Score (LS)</w:t>
            </w:r>
          </w:p>
        </w:tc>
        <w:tc>
          <w:tcPr>
            <w:tcW w:w="3945" w:type="pct"/>
            <w:shd w:val="clear" w:color="auto" w:fill="F2F2F2"/>
          </w:tcPr>
          <w:p w14:paraId="6C0AF271" w14:textId="587CBB92" w:rsidR="00CF219B" w:rsidRPr="00B15582" w:rsidRDefault="00CF219B" w:rsidP="00CA3730">
            <w:pPr>
              <w:pStyle w:val="TableText"/>
            </w:pPr>
            <w:r>
              <w:t>2</w:t>
            </w:r>
          </w:p>
        </w:tc>
      </w:tr>
      <w:tr w:rsidR="00CF219B" w:rsidRPr="00C7687C" w14:paraId="6AD2ADA8" w14:textId="77777777" w:rsidTr="00CA3730">
        <w:tc>
          <w:tcPr>
            <w:tcW w:w="1055" w:type="pct"/>
            <w:shd w:val="clear" w:color="auto" w:fill="F2F2F2"/>
          </w:tcPr>
          <w:p w14:paraId="5DCF2311" w14:textId="77777777" w:rsidR="00CF219B" w:rsidRPr="00C7687C" w:rsidRDefault="00CF219B" w:rsidP="00CA3730">
            <w:pPr>
              <w:pStyle w:val="TableText"/>
            </w:pPr>
            <w:r w:rsidRPr="00C7687C">
              <w:t>Mitigation</w:t>
            </w:r>
          </w:p>
        </w:tc>
        <w:tc>
          <w:tcPr>
            <w:tcW w:w="3945" w:type="pct"/>
            <w:shd w:val="clear" w:color="auto" w:fill="F2F2F2"/>
          </w:tcPr>
          <w:p w14:paraId="6E8120C2" w14:textId="4434ABFA" w:rsidR="00CF219B" w:rsidRPr="00B15582" w:rsidRDefault="00CF219B" w:rsidP="00CA3730">
            <w:pPr>
              <w:pStyle w:val="TableText"/>
            </w:pPr>
            <w:r>
              <w:t>1</w:t>
            </w:r>
          </w:p>
        </w:tc>
      </w:tr>
    </w:tbl>
    <w:p w14:paraId="7B6EE1C1" w14:textId="18568B49" w:rsidR="00CF219B" w:rsidRDefault="00CF219B" w:rsidP="002A7473"/>
    <w:tbl>
      <w:tblPr>
        <w:tblW w:w="8640" w:type="dxa"/>
        <w:tblInd w:w="720" w:type="dxa"/>
        <w:tblBorders>
          <w:insideH w:val="single" w:sz="4" w:space="0" w:color="FFFFFF" w:themeColor="background1"/>
          <w:insideV w:val="single" w:sz="4" w:space="0" w:color="FFFFFF" w:themeColor="background1"/>
        </w:tblBorders>
        <w:tblLook w:val="01E0" w:firstRow="1" w:lastRow="1" w:firstColumn="1" w:lastColumn="1" w:noHBand="0" w:noVBand="0"/>
      </w:tblPr>
      <w:tblGrid>
        <w:gridCol w:w="1823"/>
        <w:gridCol w:w="6817"/>
      </w:tblGrid>
      <w:tr w:rsidR="00CF219B" w:rsidRPr="00C7687C" w14:paraId="182C6843" w14:textId="77777777" w:rsidTr="00CA3730">
        <w:tc>
          <w:tcPr>
            <w:tcW w:w="5000" w:type="pct"/>
            <w:gridSpan w:val="2"/>
            <w:shd w:val="clear" w:color="auto" w:fill="2B3957" w:themeFill="accent2"/>
          </w:tcPr>
          <w:p w14:paraId="2E6FF590" w14:textId="60C799F0" w:rsidR="00CF219B" w:rsidRPr="00C7687C" w:rsidRDefault="00CF219B" w:rsidP="00CA3730">
            <w:pPr>
              <w:pStyle w:val="TableHeader0"/>
              <w:jc w:val="center"/>
            </w:pPr>
            <w:r w:rsidRPr="00C7687C">
              <w:t>Natural Risk (</w:t>
            </w:r>
            <w:r>
              <w:t>Other risk</w:t>
            </w:r>
            <w:r w:rsidRPr="00C7687C">
              <w:t>)</w:t>
            </w:r>
          </w:p>
        </w:tc>
      </w:tr>
      <w:tr w:rsidR="00CF219B" w:rsidRPr="00C7687C" w14:paraId="479A0CC8" w14:textId="77777777" w:rsidTr="00CA3730">
        <w:tc>
          <w:tcPr>
            <w:tcW w:w="1055" w:type="pct"/>
            <w:shd w:val="clear" w:color="auto" w:fill="F2F2F2"/>
          </w:tcPr>
          <w:p w14:paraId="7AA888BC" w14:textId="77777777" w:rsidR="00CF219B" w:rsidRPr="00C7687C" w:rsidRDefault="00CF219B" w:rsidP="00CA3730">
            <w:pPr>
              <w:pStyle w:val="TableText"/>
            </w:pPr>
            <w:r w:rsidRPr="00C7687C">
              <w:t>Significance</w:t>
            </w:r>
          </w:p>
        </w:tc>
        <w:tc>
          <w:tcPr>
            <w:tcW w:w="3945" w:type="pct"/>
            <w:shd w:val="clear" w:color="auto" w:fill="F2F2F2"/>
          </w:tcPr>
          <w:p w14:paraId="2E928F8E" w14:textId="557A8EF7" w:rsidR="00CF219B" w:rsidRPr="00B15582" w:rsidRDefault="00CF219B" w:rsidP="00CA3730">
            <w:pPr>
              <w:pStyle w:val="TableText"/>
            </w:pPr>
            <w:r w:rsidRPr="00F3712D">
              <w:rPr>
                <w:noProof/>
                <w:szCs w:val="20"/>
              </w:rPr>
              <w:t>There are no other natural risks</w:t>
            </w:r>
          </w:p>
        </w:tc>
      </w:tr>
      <w:tr w:rsidR="00CF219B" w:rsidRPr="00C7687C" w14:paraId="3D93D51F" w14:textId="77777777" w:rsidTr="00CA3730">
        <w:tc>
          <w:tcPr>
            <w:tcW w:w="1055" w:type="pct"/>
            <w:shd w:val="clear" w:color="auto" w:fill="F2F2F2"/>
          </w:tcPr>
          <w:p w14:paraId="7BE93875" w14:textId="77777777" w:rsidR="00CF219B" w:rsidRPr="00C7687C" w:rsidRDefault="00CF219B" w:rsidP="00CA3730">
            <w:pPr>
              <w:pStyle w:val="TableText"/>
            </w:pPr>
            <w:r w:rsidRPr="00C7687C">
              <w:t>Likelihood</w:t>
            </w:r>
          </w:p>
        </w:tc>
        <w:tc>
          <w:tcPr>
            <w:tcW w:w="3945" w:type="pct"/>
            <w:shd w:val="clear" w:color="auto" w:fill="F2F2F2"/>
          </w:tcPr>
          <w:p w14:paraId="3D27DE9C" w14:textId="1BB40309" w:rsidR="00CF219B" w:rsidRPr="00B15582" w:rsidRDefault="00CF219B" w:rsidP="00CA3730">
            <w:pPr>
              <w:pStyle w:val="TableText"/>
            </w:pPr>
            <w:r w:rsidRPr="00F3712D">
              <w:rPr>
                <w:noProof/>
                <w:szCs w:val="20"/>
              </w:rPr>
              <w:t>There are no historic records of other risks in the project area except those already stated above.</w:t>
            </w:r>
          </w:p>
        </w:tc>
      </w:tr>
      <w:tr w:rsidR="00CF219B" w:rsidRPr="00C7687C" w14:paraId="4C20576A" w14:textId="77777777" w:rsidTr="00CA3730">
        <w:tc>
          <w:tcPr>
            <w:tcW w:w="1055" w:type="pct"/>
            <w:shd w:val="clear" w:color="auto" w:fill="F2F2F2"/>
          </w:tcPr>
          <w:p w14:paraId="6B63E6EB" w14:textId="77777777" w:rsidR="00CF219B" w:rsidRPr="00C7687C" w:rsidRDefault="00CF219B" w:rsidP="00CA3730">
            <w:pPr>
              <w:pStyle w:val="TableText"/>
            </w:pPr>
            <w:r w:rsidRPr="00C7687C">
              <w:t>Score (LS)</w:t>
            </w:r>
          </w:p>
        </w:tc>
        <w:tc>
          <w:tcPr>
            <w:tcW w:w="3945" w:type="pct"/>
            <w:shd w:val="clear" w:color="auto" w:fill="F2F2F2"/>
          </w:tcPr>
          <w:p w14:paraId="729EAB59" w14:textId="6DF1C608" w:rsidR="00CF219B" w:rsidRPr="00B15582" w:rsidRDefault="00CF219B" w:rsidP="00CA3730">
            <w:pPr>
              <w:pStyle w:val="TableText"/>
            </w:pPr>
            <w:r>
              <w:t>0</w:t>
            </w:r>
          </w:p>
        </w:tc>
      </w:tr>
      <w:tr w:rsidR="00CF219B" w:rsidRPr="00C7687C" w14:paraId="3AFE07A8" w14:textId="77777777" w:rsidTr="00CA3730">
        <w:tc>
          <w:tcPr>
            <w:tcW w:w="1055" w:type="pct"/>
            <w:shd w:val="clear" w:color="auto" w:fill="F2F2F2"/>
          </w:tcPr>
          <w:p w14:paraId="0FC64E82" w14:textId="77777777" w:rsidR="00CF219B" w:rsidRPr="00C7687C" w:rsidRDefault="00CF219B" w:rsidP="00CA3730">
            <w:pPr>
              <w:pStyle w:val="TableText"/>
            </w:pPr>
            <w:r w:rsidRPr="00C7687C">
              <w:t>Mitigation</w:t>
            </w:r>
          </w:p>
        </w:tc>
        <w:tc>
          <w:tcPr>
            <w:tcW w:w="3945" w:type="pct"/>
            <w:shd w:val="clear" w:color="auto" w:fill="F2F2F2"/>
          </w:tcPr>
          <w:p w14:paraId="45BE9244" w14:textId="6F470934" w:rsidR="00CF219B" w:rsidRPr="00B15582" w:rsidRDefault="00CF219B" w:rsidP="00CA3730">
            <w:pPr>
              <w:pStyle w:val="TableText"/>
            </w:pPr>
            <w:r>
              <w:t>1</w:t>
            </w:r>
          </w:p>
        </w:tc>
      </w:tr>
    </w:tbl>
    <w:p w14:paraId="4B2A3CEC" w14:textId="77777777" w:rsidR="00CF219B" w:rsidRDefault="00CF219B" w:rsidP="002A7473"/>
    <w:tbl>
      <w:tblPr>
        <w:tblW w:w="8640" w:type="dxa"/>
        <w:tblInd w:w="720" w:type="dxa"/>
        <w:tblBorders>
          <w:insideH w:val="single" w:sz="4" w:space="0" w:color="FFFFFF" w:themeColor="background1"/>
          <w:insideV w:val="single" w:sz="4" w:space="0" w:color="FFFFFF" w:themeColor="background1"/>
        </w:tblBorders>
        <w:tblLook w:val="04A0" w:firstRow="1" w:lastRow="0" w:firstColumn="1" w:lastColumn="0" w:noHBand="0" w:noVBand="1"/>
      </w:tblPr>
      <w:tblGrid>
        <w:gridCol w:w="6893"/>
        <w:gridCol w:w="1747"/>
      </w:tblGrid>
      <w:tr w:rsidR="002A7473" w:rsidRPr="00C7687C" w14:paraId="7A1D2920" w14:textId="77777777" w:rsidTr="00215B6D">
        <w:trPr>
          <w:trHeight w:val="295"/>
        </w:trPr>
        <w:tc>
          <w:tcPr>
            <w:tcW w:w="5000" w:type="pct"/>
            <w:gridSpan w:val="2"/>
            <w:shd w:val="clear" w:color="auto" w:fill="2B3957" w:themeFill="accent2"/>
            <w:vAlign w:val="center"/>
            <w:hideMark/>
          </w:tcPr>
          <w:p w14:paraId="015B989F" w14:textId="77777777" w:rsidR="002A7473" w:rsidRPr="005F3498" w:rsidRDefault="002A7473" w:rsidP="005F3498">
            <w:pPr>
              <w:pStyle w:val="TableHeader0"/>
              <w:rPr>
                <w:szCs w:val="21"/>
              </w:rPr>
            </w:pPr>
            <w:r w:rsidRPr="005F3498">
              <w:rPr>
                <w:szCs w:val="21"/>
              </w:rPr>
              <w:t>Score for each natural risk applicable to the project</w:t>
            </w:r>
          </w:p>
          <w:p w14:paraId="31FAB5CC" w14:textId="77777777" w:rsidR="002A7473" w:rsidRPr="00274118" w:rsidRDefault="002A7473" w:rsidP="005F3498">
            <w:pPr>
              <w:pStyle w:val="TableHeader0"/>
              <w:rPr>
                <w:sz w:val="20"/>
                <w:szCs w:val="20"/>
              </w:rPr>
            </w:pPr>
            <w:r w:rsidRPr="005F3498">
              <w:rPr>
                <w:szCs w:val="21"/>
              </w:rPr>
              <w:t xml:space="preserve"> (Determined by (LS × M)</w:t>
            </w:r>
            <w:r w:rsidRPr="00274118">
              <w:rPr>
                <w:sz w:val="20"/>
                <w:szCs w:val="20"/>
              </w:rPr>
              <w:t xml:space="preserve"> </w:t>
            </w:r>
          </w:p>
        </w:tc>
      </w:tr>
      <w:tr w:rsidR="002A7473" w:rsidRPr="00C7687C" w14:paraId="6B2EC807" w14:textId="77777777" w:rsidTr="00215B6D">
        <w:trPr>
          <w:trHeight w:val="292"/>
        </w:trPr>
        <w:tc>
          <w:tcPr>
            <w:tcW w:w="3989" w:type="pct"/>
            <w:shd w:val="clear" w:color="auto" w:fill="F2F2F2"/>
            <w:vAlign w:val="center"/>
            <w:hideMark/>
          </w:tcPr>
          <w:p w14:paraId="4BBFAA0C" w14:textId="77777777" w:rsidR="002A7473" w:rsidRPr="00D2711B" w:rsidRDefault="002A7473" w:rsidP="005F3498">
            <w:pPr>
              <w:pStyle w:val="TableText"/>
            </w:pPr>
            <w:r w:rsidRPr="00D2711B">
              <w:lastRenderedPageBreak/>
              <w:t>Fire (F)</w:t>
            </w:r>
          </w:p>
        </w:tc>
        <w:tc>
          <w:tcPr>
            <w:tcW w:w="1011" w:type="pct"/>
            <w:shd w:val="clear" w:color="auto" w:fill="F2F2F2"/>
            <w:vAlign w:val="center"/>
          </w:tcPr>
          <w:p w14:paraId="12EB6282" w14:textId="13390A1A" w:rsidR="002A7473" w:rsidRPr="00D2711B" w:rsidRDefault="00CF219B" w:rsidP="005F3498">
            <w:pPr>
              <w:pStyle w:val="TableText"/>
            </w:pPr>
            <w:r>
              <w:t>1</w:t>
            </w:r>
          </w:p>
        </w:tc>
      </w:tr>
      <w:tr w:rsidR="002A7473" w:rsidRPr="00C7687C" w14:paraId="3993D53D" w14:textId="77777777" w:rsidTr="00215B6D">
        <w:trPr>
          <w:trHeight w:val="292"/>
        </w:trPr>
        <w:tc>
          <w:tcPr>
            <w:tcW w:w="3989" w:type="pct"/>
            <w:shd w:val="clear" w:color="auto" w:fill="F2F2F2"/>
            <w:vAlign w:val="center"/>
            <w:hideMark/>
          </w:tcPr>
          <w:p w14:paraId="7CBC9439" w14:textId="77777777" w:rsidR="002A7473" w:rsidRPr="00D2711B" w:rsidRDefault="002A7473" w:rsidP="005F3498">
            <w:pPr>
              <w:pStyle w:val="TableText"/>
            </w:pPr>
            <w:r w:rsidRPr="00D2711B">
              <w:t xml:space="preserve">Pest and Disease </w:t>
            </w:r>
            <w:r>
              <w:t>O</w:t>
            </w:r>
            <w:r w:rsidRPr="00D2711B">
              <w:t>utbreaks (PD)</w:t>
            </w:r>
          </w:p>
        </w:tc>
        <w:tc>
          <w:tcPr>
            <w:tcW w:w="1011" w:type="pct"/>
            <w:shd w:val="clear" w:color="auto" w:fill="F2F2F2"/>
            <w:vAlign w:val="center"/>
          </w:tcPr>
          <w:p w14:paraId="698F4D42" w14:textId="0E4544D1" w:rsidR="002A7473" w:rsidRPr="00D2711B" w:rsidRDefault="00CF219B" w:rsidP="005F3498">
            <w:pPr>
              <w:pStyle w:val="TableText"/>
            </w:pPr>
            <w:r>
              <w:t>0</w:t>
            </w:r>
          </w:p>
        </w:tc>
      </w:tr>
      <w:tr w:rsidR="002A7473" w:rsidRPr="00C7687C" w14:paraId="122D4815" w14:textId="77777777" w:rsidTr="00215B6D">
        <w:trPr>
          <w:trHeight w:val="292"/>
        </w:trPr>
        <w:tc>
          <w:tcPr>
            <w:tcW w:w="3989" w:type="pct"/>
            <w:shd w:val="clear" w:color="auto" w:fill="F2F2F2"/>
            <w:vAlign w:val="center"/>
            <w:hideMark/>
          </w:tcPr>
          <w:p w14:paraId="77684D17" w14:textId="77777777" w:rsidR="002A7473" w:rsidRPr="00D2711B" w:rsidRDefault="002A7473" w:rsidP="005F3498">
            <w:pPr>
              <w:pStyle w:val="TableText"/>
            </w:pPr>
            <w:r w:rsidRPr="00D2711B">
              <w:t>Extreme Weather (W)</w:t>
            </w:r>
          </w:p>
        </w:tc>
        <w:tc>
          <w:tcPr>
            <w:tcW w:w="1011" w:type="pct"/>
            <w:shd w:val="clear" w:color="auto" w:fill="F2F2F2"/>
            <w:vAlign w:val="center"/>
          </w:tcPr>
          <w:p w14:paraId="77625394" w14:textId="126DB057" w:rsidR="002A7473" w:rsidRPr="00D2711B" w:rsidRDefault="00CF219B" w:rsidP="005F3498">
            <w:pPr>
              <w:pStyle w:val="TableText"/>
            </w:pPr>
            <w:r>
              <w:t>0</w:t>
            </w:r>
          </w:p>
        </w:tc>
      </w:tr>
      <w:tr w:rsidR="002A7473" w:rsidRPr="00C7687C" w14:paraId="7ADA2B9B" w14:textId="77777777" w:rsidTr="00215B6D">
        <w:trPr>
          <w:trHeight w:val="292"/>
        </w:trPr>
        <w:tc>
          <w:tcPr>
            <w:tcW w:w="3989" w:type="pct"/>
            <w:shd w:val="clear" w:color="auto" w:fill="F2F2F2"/>
            <w:vAlign w:val="center"/>
            <w:hideMark/>
          </w:tcPr>
          <w:p w14:paraId="6E331615" w14:textId="77777777" w:rsidR="002A7473" w:rsidRPr="00D2711B" w:rsidRDefault="002A7473" w:rsidP="005F3498">
            <w:pPr>
              <w:pStyle w:val="TableText"/>
            </w:pPr>
            <w:r w:rsidRPr="00D2711B">
              <w:t>Geological Risk (G)</w:t>
            </w:r>
          </w:p>
        </w:tc>
        <w:tc>
          <w:tcPr>
            <w:tcW w:w="1011" w:type="pct"/>
            <w:shd w:val="clear" w:color="auto" w:fill="F2F2F2"/>
            <w:vAlign w:val="center"/>
          </w:tcPr>
          <w:p w14:paraId="38E31645" w14:textId="1512A5BE" w:rsidR="002A7473" w:rsidRPr="00D2711B" w:rsidRDefault="00CF219B" w:rsidP="005F3498">
            <w:pPr>
              <w:pStyle w:val="TableText"/>
            </w:pPr>
            <w:r>
              <w:t>2</w:t>
            </w:r>
          </w:p>
        </w:tc>
      </w:tr>
      <w:tr w:rsidR="002A7473" w:rsidRPr="00C7687C" w14:paraId="29355CF4" w14:textId="77777777" w:rsidTr="00215B6D">
        <w:trPr>
          <w:trHeight w:val="292"/>
        </w:trPr>
        <w:tc>
          <w:tcPr>
            <w:tcW w:w="3989" w:type="pct"/>
            <w:shd w:val="clear" w:color="auto" w:fill="F2F2F2"/>
            <w:vAlign w:val="center"/>
            <w:hideMark/>
          </w:tcPr>
          <w:p w14:paraId="1EC7D1A5" w14:textId="77777777" w:rsidR="002A7473" w:rsidRPr="00D2711B" w:rsidRDefault="002A7473" w:rsidP="005F3498">
            <w:pPr>
              <w:pStyle w:val="TableText"/>
            </w:pPr>
            <w:r w:rsidRPr="00D2711B">
              <w:t>Other natural risk (ON)</w:t>
            </w:r>
          </w:p>
        </w:tc>
        <w:tc>
          <w:tcPr>
            <w:tcW w:w="1011" w:type="pct"/>
            <w:shd w:val="clear" w:color="auto" w:fill="F2F2F2"/>
            <w:vAlign w:val="center"/>
          </w:tcPr>
          <w:p w14:paraId="72C275FD" w14:textId="076D1CFA" w:rsidR="002A7473" w:rsidRPr="00D2711B" w:rsidRDefault="00CF219B" w:rsidP="005F3498">
            <w:pPr>
              <w:pStyle w:val="TableText"/>
            </w:pPr>
            <w:r>
              <w:t>0</w:t>
            </w:r>
          </w:p>
        </w:tc>
      </w:tr>
      <w:tr w:rsidR="002A7473" w:rsidRPr="00C7687C" w14:paraId="720398C6" w14:textId="77777777" w:rsidTr="00215B6D">
        <w:trPr>
          <w:trHeight w:val="188"/>
        </w:trPr>
        <w:tc>
          <w:tcPr>
            <w:tcW w:w="3989" w:type="pct"/>
            <w:shd w:val="clear" w:color="auto" w:fill="F2F2F2"/>
            <w:vAlign w:val="center"/>
            <w:hideMark/>
          </w:tcPr>
          <w:p w14:paraId="7F3BC1CC" w14:textId="77777777" w:rsidR="002A7473" w:rsidRPr="00D2711B" w:rsidRDefault="002A7473" w:rsidP="005F3498">
            <w:pPr>
              <w:pStyle w:val="TableText"/>
              <w:rPr>
                <w:b/>
                <w:bCs/>
              </w:rPr>
            </w:pPr>
            <w:r w:rsidRPr="00D2711B">
              <w:rPr>
                <w:b/>
              </w:rPr>
              <w:t>Total Natural Risk (as applicable, F + PD + W + G + ON)</w:t>
            </w:r>
          </w:p>
        </w:tc>
        <w:tc>
          <w:tcPr>
            <w:tcW w:w="1011" w:type="pct"/>
            <w:shd w:val="clear" w:color="auto" w:fill="F2F2F2"/>
            <w:vAlign w:val="center"/>
            <w:hideMark/>
          </w:tcPr>
          <w:p w14:paraId="3286A20D" w14:textId="7FFD6A13" w:rsidR="002A7473" w:rsidRPr="005F3498" w:rsidRDefault="00CF219B" w:rsidP="005F3498">
            <w:pPr>
              <w:pStyle w:val="TableText"/>
            </w:pPr>
            <w:r>
              <w:t>3</w:t>
            </w:r>
          </w:p>
        </w:tc>
      </w:tr>
    </w:tbl>
    <w:p w14:paraId="34101F95" w14:textId="77777777" w:rsidR="002A7473" w:rsidRPr="002A7473" w:rsidRDefault="002A7473" w:rsidP="002A7473"/>
    <w:p w14:paraId="5EE34114" w14:textId="3819517C" w:rsidR="002A7473" w:rsidRDefault="002A7473" w:rsidP="002A7473">
      <w:pPr>
        <w:pStyle w:val="Heading1"/>
      </w:pPr>
      <w:bookmarkStart w:id="14" w:name="_Toc19445294"/>
      <w:r>
        <w:t>Overall Non-Permanence Risk Rating and Buffer Determination</w:t>
      </w:r>
      <w:bookmarkEnd w:id="14"/>
    </w:p>
    <w:p w14:paraId="3E57E0C2" w14:textId="03F10C2D" w:rsidR="002A7473" w:rsidRDefault="002A7473" w:rsidP="002A7473">
      <w:pPr>
        <w:pStyle w:val="Heading2"/>
      </w:pPr>
      <w:bookmarkStart w:id="15" w:name="_Toc19445295"/>
      <w:r>
        <w:t>Overall Risk Rating</w:t>
      </w:r>
      <w:bookmarkEnd w:id="15"/>
    </w:p>
    <w:tbl>
      <w:tblPr>
        <w:tblW w:w="6270" w:type="dxa"/>
        <w:tblInd w:w="720" w:type="dxa"/>
        <w:tblLook w:val="04A0" w:firstRow="1" w:lastRow="0" w:firstColumn="1" w:lastColumn="0" w:noHBand="0" w:noVBand="1"/>
      </w:tblPr>
      <w:tblGrid>
        <w:gridCol w:w="5010"/>
        <w:gridCol w:w="1260"/>
      </w:tblGrid>
      <w:tr w:rsidR="002A7473" w:rsidRPr="00C7687C" w14:paraId="1356DD83" w14:textId="77777777" w:rsidTr="005F3498">
        <w:trPr>
          <w:trHeight w:val="345"/>
        </w:trPr>
        <w:tc>
          <w:tcPr>
            <w:tcW w:w="5010" w:type="dxa"/>
            <w:tcBorders>
              <w:top w:val="single" w:sz="8" w:space="0" w:color="auto"/>
              <w:left w:val="single" w:sz="8" w:space="0" w:color="auto"/>
              <w:right w:val="single" w:sz="4" w:space="0" w:color="auto"/>
            </w:tcBorders>
            <w:shd w:val="clear" w:color="auto" w:fill="2B3957" w:themeFill="accent2"/>
            <w:noWrap/>
            <w:vAlign w:val="center"/>
            <w:hideMark/>
          </w:tcPr>
          <w:p w14:paraId="323583B5" w14:textId="77777777" w:rsidR="002A7473" w:rsidRPr="00C7687C" w:rsidRDefault="002A7473" w:rsidP="005F3498">
            <w:pPr>
              <w:pStyle w:val="TableHeader0"/>
            </w:pPr>
            <w:r w:rsidRPr="00C7687C">
              <w:t>Risk Category</w:t>
            </w:r>
          </w:p>
        </w:tc>
        <w:tc>
          <w:tcPr>
            <w:tcW w:w="1260" w:type="dxa"/>
            <w:tcBorders>
              <w:top w:val="single" w:sz="8" w:space="0" w:color="auto"/>
              <w:left w:val="single" w:sz="4" w:space="0" w:color="auto"/>
              <w:right w:val="single" w:sz="8" w:space="0" w:color="auto"/>
            </w:tcBorders>
            <w:shd w:val="clear" w:color="auto" w:fill="2B3957" w:themeFill="accent2"/>
            <w:noWrap/>
            <w:vAlign w:val="center"/>
            <w:hideMark/>
          </w:tcPr>
          <w:p w14:paraId="4A0A9730" w14:textId="77777777" w:rsidR="002A7473" w:rsidRPr="00C7687C" w:rsidRDefault="002A7473" w:rsidP="005F3498">
            <w:pPr>
              <w:pStyle w:val="TableHeader0"/>
            </w:pPr>
            <w:r w:rsidRPr="00C7687C">
              <w:t>Rating</w:t>
            </w:r>
          </w:p>
        </w:tc>
      </w:tr>
      <w:tr w:rsidR="002A7473" w:rsidRPr="00C7687C" w14:paraId="396B8B44" w14:textId="77777777" w:rsidTr="005F3498">
        <w:trPr>
          <w:trHeight w:val="300"/>
        </w:trPr>
        <w:tc>
          <w:tcPr>
            <w:tcW w:w="5010" w:type="dxa"/>
            <w:tcBorders>
              <w:bottom w:val="single" w:sz="4" w:space="0" w:color="FFFFFF" w:themeColor="background1"/>
              <w:right w:val="single" w:sz="4" w:space="0" w:color="FFFFFF" w:themeColor="background1"/>
            </w:tcBorders>
            <w:shd w:val="clear" w:color="auto" w:fill="F2F2F2"/>
            <w:noWrap/>
            <w:vAlign w:val="center"/>
            <w:hideMark/>
          </w:tcPr>
          <w:p w14:paraId="067CB29A" w14:textId="77777777" w:rsidR="002A7473" w:rsidRPr="00C7687C" w:rsidRDefault="002A7473" w:rsidP="005F3498">
            <w:pPr>
              <w:pStyle w:val="TableText"/>
            </w:pPr>
            <w:r w:rsidRPr="00C7687C">
              <w:t>Internal Risk</w:t>
            </w:r>
          </w:p>
        </w:tc>
        <w:tc>
          <w:tcPr>
            <w:tcW w:w="1260" w:type="dxa"/>
            <w:tcBorders>
              <w:left w:val="single" w:sz="4" w:space="0" w:color="FFFFFF" w:themeColor="background1"/>
              <w:bottom w:val="single" w:sz="4" w:space="0" w:color="FFFFFF" w:themeColor="background1"/>
            </w:tcBorders>
            <w:shd w:val="clear" w:color="auto" w:fill="F2F2F2"/>
            <w:noWrap/>
            <w:vAlign w:val="center"/>
            <w:hideMark/>
          </w:tcPr>
          <w:p w14:paraId="78DC6069" w14:textId="73C49DD4" w:rsidR="002A7473" w:rsidRPr="00C7687C" w:rsidRDefault="00CF219B" w:rsidP="005F3498">
            <w:pPr>
              <w:pStyle w:val="TableText"/>
            </w:pPr>
            <w:r>
              <w:t>11</w:t>
            </w:r>
          </w:p>
        </w:tc>
      </w:tr>
      <w:tr w:rsidR="002A7473" w:rsidRPr="00C7687C" w14:paraId="0F16CD27" w14:textId="77777777" w:rsidTr="005F3498">
        <w:trPr>
          <w:trHeight w:val="300"/>
        </w:trPr>
        <w:tc>
          <w:tcPr>
            <w:tcW w:w="5010" w:type="dxa"/>
            <w:tcBorders>
              <w:top w:val="single" w:sz="4" w:space="0" w:color="FFFFFF" w:themeColor="background1"/>
              <w:bottom w:val="single" w:sz="4" w:space="0" w:color="FFFFFF" w:themeColor="background1"/>
              <w:right w:val="single" w:sz="4" w:space="0" w:color="FFFFFF" w:themeColor="background1"/>
            </w:tcBorders>
            <w:shd w:val="clear" w:color="auto" w:fill="F2F2F2"/>
            <w:noWrap/>
            <w:vAlign w:val="center"/>
            <w:hideMark/>
          </w:tcPr>
          <w:p w14:paraId="6DCA7190" w14:textId="77777777" w:rsidR="002A7473" w:rsidRPr="00C7687C" w:rsidRDefault="002A7473" w:rsidP="005F3498">
            <w:pPr>
              <w:pStyle w:val="TableText"/>
            </w:pPr>
            <w:r w:rsidRPr="00C7687C">
              <w:t>External Risk</w:t>
            </w:r>
          </w:p>
        </w:tc>
        <w:tc>
          <w:tcPr>
            <w:tcW w:w="1260" w:type="dxa"/>
            <w:tcBorders>
              <w:top w:val="single" w:sz="4" w:space="0" w:color="FFFFFF" w:themeColor="background1"/>
              <w:left w:val="single" w:sz="4" w:space="0" w:color="FFFFFF" w:themeColor="background1"/>
              <w:bottom w:val="single" w:sz="4" w:space="0" w:color="FFFFFF" w:themeColor="background1"/>
            </w:tcBorders>
            <w:shd w:val="clear" w:color="auto" w:fill="F2F2F2"/>
            <w:noWrap/>
            <w:vAlign w:val="center"/>
            <w:hideMark/>
          </w:tcPr>
          <w:p w14:paraId="0A73948E" w14:textId="0A0008D1" w:rsidR="002A7473" w:rsidRPr="00C7687C" w:rsidRDefault="00CF219B" w:rsidP="005F3498">
            <w:pPr>
              <w:pStyle w:val="TableText"/>
            </w:pPr>
            <w:r>
              <w:t>0.0</w:t>
            </w:r>
          </w:p>
        </w:tc>
      </w:tr>
      <w:tr w:rsidR="002A7473" w:rsidRPr="00C7687C" w14:paraId="0D1E5D1C" w14:textId="77777777" w:rsidTr="005F3498">
        <w:trPr>
          <w:trHeight w:val="300"/>
        </w:trPr>
        <w:tc>
          <w:tcPr>
            <w:tcW w:w="5010" w:type="dxa"/>
            <w:tcBorders>
              <w:top w:val="single" w:sz="4" w:space="0" w:color="FFFFFF" w:themeColor="background1"/>
              <w:bottom w:val="single" w:sz="12" w:space="0" w:color="FFFFFF" w:themeColor="background1"/>
              <w:right w:val="single" w:sz="4" w:space="0" w:color="FFFFFF" w:themeColor="background1"/>
            </w:tcBorders>
            <w:shd w:val="clear" w:color="auto" w:fill="F2F2F2"/>
            <w:noWrap/>
            <w:vAlign w:val="center"/>
            <w:hideMark/>
          </w:tcPr>
          <w:p w14:paraId="78C9022B" w14:textId="77777777" w:rsidR="002A7473" w:rsidRPr="00C7687C" w:rsidRDefault="002A7473" w:rsidP="005F3498">
            <w:pPr>
              <w:pStyle w:val="TableText"/>
            </w:pPr>
            <w:r w:rsidRPr="00C7687C">
              <w:t>Natural Risk</w:t>
            </w:r>
          </w:p>
        </w:tc>
        <w:tc>
          <w:tcPr>
            <w:tcW w:w="1260" w:type="dxa"/>
            <w:tcBorders>
              <w:top w:val="single" w:sz="4" w:space="0" w:color="FFFFFF" w:themeColor="background1"/>
              <w:left w:val="single" w:sz="4" w:space="0" w:color="FFFFFF" w:themeColor="background1"/>
              <w:bottom w:val="single" w:sz="12" w:space="0" w:color="FFFFFF" w:themeColor="background1"/>
            </w:tcBorders>
            <w:shd w:val="clear" w:color="auto" w:fill="F2F2F2"/>
            <w:noWrap/>
            <w:vAlign w:val="center"/>
            <w:hideMark/>
          </w:tcPr>
          <w:p w14:paraId="526523E1" w14:textId="04D253E6" w:rsidR="002A7473" w:rsidRPr="00C7687C" w:rsidRDefault="00CF219B" w:rsidP="005F3498">
            <w:pPr>
              <w:pStyle w:val="TableText"/>
            </w:pPr>
            <w:r>
              <w:t>3.0</w:t>
            </w:r>
          </w:p>
        </w:tc>
      </w:tr>
      <w:tr w:rsidR="002A7473" w:rsidRPr="00C7687C" w14:paraId="0A221E0D" w14:textId="77777777" w:rsidTr="005F3498">
        <w:trPr>
          <w:trHeight w:val="315"/>
        </w:trPr>
        <w:tc>
          <w:tcPr>
            <w:tcW w:w="5010" w:type="dxa"/>
            <w:tcBorders>
              <w:top w:val="single" w:sz="12" w:space="0" w:color="FFFFFF" w:themeColor="background1"/>
              <w:right w:val="single" w:sz="4" w:space="0" w:color="FFFFFF" w:themeColor="background1"/>
            </w:tcBorders>
            <w:shd w:val="clear" w:color="auto" w:fill="F2F2F2"/>
            <w:noWrap/>
            <w:vAlign w:val="center"/>
            <w:hideMark/>
          </w:tcPr>
          <w:p w14:paraId="60E6C400" w14:textId="77777777" w:rsidR="002A7473" w:rsidRPr="00C7687C" w:rsidRDefault="002A7473" w:rsidP="005F3498">
            <w:pPr>
              <w:pStyle w:val="TableText"/>
              <w:rPr>
                <w:b/>
              </w:rPr>
            </w:pPr>
            <w:r w:rsidRPr="00C7687C">
              <w:rPr>
                <w:b/>
              </w:rPr>
              <w:t>Overall Risk Rating (a + b + c)</w:t>
            </w:r>
          </w:p>
        </w:tc>
        <w:tc>
          <w:tcPr>
            <w:tcW w:w="1260" w:type="dxa"/>
            <w:tcBorders>
              <w:top w:val="single" w:sz="12" w:space="0" w:color="FFFFFF" w:themeColor="background1"/>
              <w:left w:val="single" w:sz="4" w:space="0" w:color="FFFFFF" w:themeColor="background1"/>
            </w:tcBorders>
            <w:shd w:val="clear" w:color="auto" w:fill="F2F2F2"/>
            <w:vAlign w:val="center"/>
          </w:tcPr>
          <w:p w14:paraId="0FFA231F" w14:textId="796CE988" w:rsidR="002A7473" w:rsidRPr="00C7687C" w:rsidRDefault="00CF219B" w:rsidP="005F3498">
            <w:pPr>
              <w:pStyle w:val="TableText"/>
              <w:rPr>
                <w:b/>
              </w:rPr>
            </w:pPr>
            <w:r>
              <w:rPr>
                <w:b/>
              </w:rPr>
              <w:t>14</w:t>
            </w:r>
          </w:p>
        </w:tc>
      </w:tr>
    </w:tbl>
    <w:p w14:paraId="3989825C" w14:textId="733F148D" w:rsidR="002A7473" w:rsidRDefault="002A7473" w:rsidP="002A7473">
      <w:pPr>
        <w:pStyle w:val="Heading2"/>
      </w:pPr>
      <w:bookmarkStart w:id="16" w:name="_Toc19445296"/>
      <w:r>
        <w:t>Calculation of Total VCUs</w:t>
      </w:r>
      <w:bookmarkEnd w:id="16"/>
    </w:p>
    <w:p w14:paraId="62F6C212" w14:textId="77777777" w:rsidR="00A64617" w:rsidRDefault="00A64617" w:rsidP="00A64617">
      <w:pPr>
        <w:jc w:val="both"/>
      </w:pPr>
      <w:r>
        <w:t>No buffer credits based on change in carbon stock need to be deposited into the AFOLU pooled buffer account, because c</w:t>
      </w:r>
      <w:r w:rsidRPr="00B814EF">
        <w:t xml:space="preserve">hanges in carbon stock in the project scenario are not accounted for in the first four years of the project, as an AGB inventory will only be implemented in 2020. </w:t>
      </w:r>
    </w:p>
    <w:p w14:paraId="3A4028A0" w14:textId="778A45CB" w:rsidR="00DF6FEE" w:rsidRPr="00A226CA" w:rsidRDefault="00AC43B5" w:rsidP="005F3498">
      <w:pPr>
        <w:pStyle w:val="Heading4"/>
      </w:pPr>
      <w:r>
        <w:t>n</w:t>
      </w:r>
      <w:bookmarkStart w:id="17" w:name="validation-and-verification-requirements"/>
      <w:bookmarkEnd w:id="9"/>
      <w:bookmarkEnd w:id="11"/>
      <w:bookmarkEnd w:id="17"/>
    </w:p>
    <w:sectPr w:rsidR="00DF6FEE" w:rsidRPr="00A226CA" w:rsidSect="005F3498">
      <w:headerReference w:type="default" r:id="rId10"/>
      <w:footerReference w:type="default" r:id="rId11"/>
      <w:pgSz w:w="12240" w:h="15840"/>
      <w:pgMar w:top="1440" w:right="1440" w:bottom="1440" w:left="1440" w:header="720" w:footer="720" w:gutter="0"/>
      <w:cols w:space="720"/>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3FA86C" w14:textId="77777777" w:rsidR="00401447" w:rsidRDefault="00401447" w:rsidP="00D109C1">
      <w:pPr>
        <w:spacing w:after="0" w:line="240" w:lineRule="auto"/>
      </w:pPr>
      <w:r>
        <w:separator/>
      </w:r>
    </w:p>
  </w:endnote>
  <w:endnote w:type="continuationSeparator" w:id="0">
    <w:p w14:paraId="66DE041E" w14:textId="77777777" w:rsidR="00401447" w:rsidRDefault="00401447" w:rsidP="00D109C1">
      <w:pPr>
        <w:spacing w:after="0" w:line="240" w:lineRule="auto"/>
      </w:pPr>
      <w:r>
        <w:continuationSeparator/>
      </w:r>
    </w:p>
  </w:endnote>
  <w:endnote w:type="continuationNotice" w:id="1">
    <w:p w14:paraId="2F26E52D" w14:textId="77777777" w:rsidR="00401447" w:rsidRDefault="004014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venir LT Com 35 Light">
    <w:altName w:val="Century Gothic"/>
    <w:panose1 w:val="020B0402020203020204"/>
    <w:charset w:val="4D"/>
    <w:family w:val="swiss"/>
    <w:pitch w:val="variable"/>
    <w:sig w:usb0="800000AF" w:usb1="5000204A" w:usb2="00000000" w:usb3="00000000" w:csb0="0000009B"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Franklin Gothic Book">
    <w:panose1 w:val="020B0503020102020204"/>
    <w:charset w:val="00"/>
    <w:family w:val="swiss"/>
    <w:pitch w:val="variable"/>
    <w:sig w:usb0="00000287" w:usb1="00000000" w:usb2="00000000" w:usb3="00000000" w:csb0="0000009F" w:csb1="00000000"/>
  </w:font>
  <w:font w:name="Arial Bold">
    <w:altName w:val="Arial"/>
    <w:panose1 w:val="020B0604020202020204"/>
    <w:charset w:val="00"/>
    <w:family w:val="roman"/>
    <w:notTrueType/>
    <w:pitch w:val="default"/>
  </w:font>
  <w:font w:name="Zilla Slab">
    <w:altName w:val="Times New Roman"/>
    <w:panose1 w:val="020B0604020202020204"/>
    <w:charset w:val="00"/>
    <w:family w:val="auto"/>
    <w:pitch w:val="variable"/>
    <w:sig w:usb0="A00000FF" w:usb1="5001E47B" w:usb2="00000000" w:usb3="00000000" w:csb0="0000009B"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altName w:val="Arial"/>
    <w:panose1 w:val="020B0604020202020204"/>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34585552"/>
      <w:docPartObj>
        <w:docPartGallery w:val="Page Numbers (Bottom of Page)"/>
        <w:docPartUnique/>
      </w:docPartObj>
    </w:sdtPr>
    <w:sdtEndPr>
      <w:rPr>
        <w:noProof/>
      </w:rPr>
    </w:sdtEndPr>
    <w:sdtContent>
      <w:p w14:paraId="0B5432DA" w14:textId="6541FE9B" w:rsidR="007130E3" w:rsidRDefault="007130E3" w:rsidP="00030969">
        <w:pPr>
          <w:pStyle w:val="Footer"/>
          <w:jc w:val="right"/>
        </w:pPr>
        <w:r w:rsidRPr="0079438F">
          <w:rPr>
            <w:rFonts w:ascii="Century Gothic" w:hAnsi="Century Gothic"/>
            <w:color w:val="262626"/>
          </w:rPr>
          <w:fldChar w:fldCharType="begin"/>
        </w:r>
        <w:r w:rsidRPr="0079438F">
          <w:rPr>
            <w:rFonts w:ascii="Century Gothic" w:hAnsi="Century Gothic"/>
            <w:color w:val="262626"/>
          </w:rPr>
          <w:instrText xml:space="preserve"> PAGE   \* MERGEFORMAT </w:instrText>
        </w:r>
        <w:r w:rsidRPr="0079438F">
          <w:rPr>
            <w:rFonts w:ascii="Century Gothic" w:hAnsi="Century Gothic"/>
            <w:color w:val="262626"/>
          </w:rPr>
          <w:fldChar w:fldCharType="separate"/>
        </w:r>
        <w:r w:rsidR="00215B6D">
          <w:rPr>
            <w:rFonts w:ascii="Century Gothic" w:hAnsi="Century Gothic"/>
            <w:noProof/>
            <w:color w:val="262626"/>
          </w:rPr>
          <w:t>5</w:t>
        </w:r>
        <w:r w:rsidRPr="0079438F">
          <w:rPr>
            <w:rFonts w:ascii="Century Gothic" w:hAnsi="Century Gothic"/>
            <w:noProof/>
            <w:color w:val="26262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3A2817" w14:textId="77777777" w:rsidR="00401447" w:rsidRDefault="00401447" w:rsidP="00D109C1">
      <w:pPr>
        <w:spacing w:after="0" w:line="240" w:lineRule="auto"/>
      </w:pPr>
      <w:r>
        <w:separator/>
      </w:r>
    </w:p>
  </w:footnote>
  <w:footnote w:type="continuationSeparator" w:id="0">
    <w:p w14:paraId="38C7475D" w14:textId="77777777" w:rsidR="00401447" w:rsidRDefault="00401447" w:rsidP="00D109C1">
      <w:pPr>
        <w:spacing w:after="0" w:line="240" w:lineRule="auto"/>
      </w:pPr>
      <w:r>
        <w:continuationSeparator/>
      </w:r>
    </w:p>
  </w:footnote>
  <w:footnote w:type="continuationNotice" w:id="1">
    <w:p w14:paraId="1BCB21F6" w14:textId="77777777" w:rsidR="00401447" w:rsidRDefault="00401447">
      <w:pPr>
        <w:spacing w:after="0" w:line="240" w:lineRule="auto"/>
      </w:pPr>
    </w:p>
  </w:footnote>
  <w:footnote w:id="2">
    <w:p w14:paraId="3BBD3D65" w14:textId="77777777" w:rsidR="00CF219B" w:rsidRDefault="00CF219B" w:rsidP="00CF219B">
      <w:pPr>
        <w:pStyle w:val="FootnoteText"/>
        <w:rPr>
          <w:rFonts w:ascii="Arial" w:hAnsi="Arial" w:cs="Times New Roman"/>
          <w:szCs w:val="20"/>
          <w:lang w:val="en-GB"/>
        </w:rPr>
      </w:pPr>
      <w:r>
        <w:rPr>
          <w:rStyle w:val="FootnoteReference"/>
        </w:rPr>
        <w:footnoteRef/>
      </w:r>
      <w:r>
        <w:t xml:space="preserve"> </w:t>
      </w:r>
      <w:r>
        <w:fldChar w:fldCharType="begin" w:fldLock="1"/>
      </w:r>
      <w:r>
        <w:instrText>ADDIN CSL_CITATION {"citationItems":[{"id":"ITEM-1","itemData":{"author":[{"dropping-particle":"","family":"Wiryono","given":"","non-dropping-particle":"","parse-names":false,"suffix":""}],"container-title":"Prosiding Seminar Hasil Penelitian Bali Penlitian Kehutanan Palembang","editor":[{"dropping-particle":"","family":"Mindawait","given":"N.","non-dropping-particle":"","parse-names":false,"suffix":""},{"dropping-particle":"","family":"Effedi","given":"R.","non-dropping-particle":"","parse-names":false,"suffix":""},{"dropping-particle":"","family":"Anggraeni","given":"I.","non-dropping-particle":"","parse-names":false,"suffix":""},{"dropping-particle":"","family":"Herawati","given":"T.","non-dropping-particle":"","parse-names":false,"suffix":""}],"id":"ITEM-1","issued":{"date-parts":[["2013"]]},"title":"Aspek Ekologis Hutan Tanaman Indonesia","type":"chapter"},"uris":["http://www.mendeley.com/documents/?uuid=c3c88a0a-0dda-4d43-a747-4ee344851cfc"]}],"mendeley":{"formattedCitation":"Wiryono, ‘Aspek Ekologis Hutan Tanaman Indonesia’ in N Mindawait and others (eds), &lt;i&gt;Prosiding Seminar Hasil Penelitian Bali Penlitian Kehutanan Palembang&lt;/i&gt; (2013).","plainTextFormattedCitation":"Wiryono, ‘Aspek Ekologis Hutan Tanaman Indonesia’ in N Mindawait and others (eds), Prosiding Seminar Hasil Penelitian Bali Penlitian Kehutanan Palembang (2013)."},"properties":{"noteIndex":1},"schema":"https://github.com/citation-style-language/schema/raw/master/csl-citation.json"}</w:instrText>
      </w:r>
      <w:r>
        <w:fldChar w:fldCharType="separate"/>
      </w:r>
      <w:r>
        <w:rPr>
          <w:noProof/>
        </w:rPr>
        <w:t xml:space="preserve">Wiryono, ‘Aspek Ekologis Hutan Tanaman Indonesia’ in N Mindawait and others (eds), </w:t>
      </w:r>
      <w:r>
        <w:rPr>
          <w:i/>
          <w:noProof/>
        </w:rPr>
        <w:t>Prosiding Seminar Hasil Penelitian Bali Penlitian Kehutanan Palembang</w:t>
      </w:r>
      <w:r>
        <w:rPr>
          <w:noProof/>
        </w:rPr>
        <w:t xml:space="preserve"> (2013).</w:t>
      </w:r>
      <w:r>
        <w:fldChar w:fldCharType="end"/>
      </w:r>
    </w:p>
  </w:footnote>
  <w:footnote w:id="3">
    <w:p w14:paraId="65E90FB9" w14:textId="77777777" w:rsidR="00CF219B" w:rsidRDefault="00CF219B" w:rsidP="00CF219B">
      <w:pPr>
        <w:pStyle w:val="FootnoteText"/>
        <w:rPr>
          <w:lang w:val="en-GB"/>
        </w:rPr>
      </w:pPr>
      <w:r>
        <w:rPr>
          <w:rStyle w:val="FootnoteReference"/>
        </w:rPr>
        <w:footnoteRef/>
      </w:r>
      <w:r>
        <w:t xml:space="preserve"> </w:t>
      </w:r>
      <w:r>
        <w:fldChar w:fldCharType="begin" w:fldLock="1"/>
      </w:r>
      <w:r>
        <w:instrText>ADDIN CSL_CITATION {"citationItems":[{"id":"ITEM-1","itemData":{"author":[{"dropping-particle":"","family":"Pautasso","given":"M","non-dropping-particle":"","parse-names":false,"suffix":""},{"dropping-particle":"","family":"Holdenrieder","given":"O","non-dropping-particle":"","parse-names":false,"suffix":""},{"dropping-particle":"","family":"Stenlid","given":"J","non-dropping-particle":"","parse-names":false,"suffix":""}],"container-title":"Forest diversity and function","id":"ITEM-1","issued":{"date-parts":[["2005"]]},"page":"263-289","publisher":"Springer","title":"Susceptibility to fungal pathogens of forests differing in tree diversity","type":"chapter"},"uris":["http://www.mendeley.com/documents/?uuid=2deb43de-9f4f-405a-b977-f55c145baa5c"]},{"id":"ITEM-2","itemData":{"DOI":"10.1007/s40725-017-0064-1","ISBN":"4072501700","ISSN":"21986436","abstract":"Forests are frequently exposed to natural disturbances, which are likely to increase with global change, and may jeopardize the delivery of ecosystem services. Mixed-species forests have often been shown to be more productive than monocultures, but it is unclear whether this results from mixed stands being in part more resistant to various biotic and abiotic disturbance factors. This review investigates the relationships between tree diversity and stand resistance to natural disturbances and explores the ecological mechanisms behind the observed relationships.","author":[{"dropping-particle":"","family":"Jactel","given":"Hervé","non-dropping-particle":"","parse-names":false,"suffix":""},{"dropping-particle":"","family":"Bauhus","given":"Jürgen","non-dropping-particle":"","parse-names":false,"suffix":""},{"dropping-particle":"","family":"Boberg","given":"Johanna","non-dropping-particle":"","parse-names":false,"suffix":""},{"dropping-particle":"","family":"Bonal","given":"Damien","non-dropping-particle":"","parse-names":false,"suffix":""},{"dropping-particle":"","family":"Castagneyrol","given":"Bastien","non-dropping-particle":"","parse-names":false,"suffix":""},{"dropping-particle":"","family":"Gardiner","given":"Barry","non-dropping-particle":"","parse-names":false,"suffix":""},{"dropping-particle":"","family":"Gonzalez-Olabarria","given":"Jose Ramon","non-dropping-particle":"","parse-names":false,"suffix":""},{"dropping-particle":"","family":"Koricheva","given":"Julia","non-dropping-particle":"","parse-names":false,"suffix":""},{"dropping-particle":"","family":"Meurisse","given":"Nicolas","non-dropping-particle":"","parse-names":false,"suffix":""},{"dropping-particle":"","family":"Brockerhoff","given":"Eckehard G.","non-dropping-particle":"","parse-names":false,"suffix":""}],"container-title":"Current Forestry Reports","id":"ITEM-2","issue":"3","issued":{"date-parts":[["2017"]]},"page":"223-243","publisher":"Current Forestry Reports","title":"Tree Diversity Drives Forest Stand Resistance to Natural Disturbances","type":"article-journal","volume":"3"},"uris":["http://www.mendeley.com/documents/?uuid=f12edee2-911a-4588-b0ae-551a072d80af"]},{"id":"ITEM-3","itemData":{"DOI":"10.1111/j.1461-0248.2007.01073.x","ISSN":"1461023X","abstract":"Biodiversity loss from plant communities is often acknowledged to affect primary production but little is known about effects on herbivores. We conducted a meta-analysis of a worldwide data set of 119 studies to compare herbivory in single-species and mixed forests. This showed a significant reduction of herbivory in more diverse forests but this varied with the host specificity of insects. In diverse forests, herbivory by oligophagous species was virtually always reduced, whereas the response of polyphagous species was variable. Further analyses revealed that the composition of tree mixtures may be more important than species richness per se because diversity effects on herbivory were greater when mixed forests comprised taxonomically more distant tree species, and when the proportion of non-host trees was greater than that of host trees. These findings provide new support for the role of biodiversity in ecosystem functioning across trophic levels.","author":[{"dropping-particle":"","family":"Jactel","given":"Hervé","non-dropping-particle":"","parse-names":false,"suffix":""},{"dropping-particle":"","family":"Brockerhoff","given":"Eckehard G.","non-dropping-particle":"","parse-names":false,"suffix":""}],"container-title":"Ecology Letters","id":"ITEM-3","issue":"9","issued":{"date-parts":[["2007"]]},"page":"835-848","title":"Tree diversity reduces herbivory by forest insects","type":"article-journal","volume":"10"},"uris":["http://www.mendeley.com/documents/?uuid=04ee282a-3963-4cd9-9939-7ea8d803c843"]}],"mendeley":{"formattedCitation":"M Pautasso, O Holdenrieder and J Stenlid, ‘Susceptibility to Fungal Pathogens of Forests Differing in Tree Diversity’, &lt;i&gt;Forest diversity and function&lt;/i&gt; (Springer 2005); Hervé Jactel and others, ‘Tree Diversity Drives Forest Stand Resistance to Natural Disturbances’ (2017) 3 Current Forestry Reports 223; Hervé Jactel and Eckehard G Brockerhoff, ‘Tree Diversity Reduces Herbivory by Forest Insects’ (2007) 10 Ecology Letters 835.","plainTextFormattedCitation":"M Pautasso, O Holdenrieder and J Stenlid, ‘Susceptibility to Fungal Pathogens of Forests Differing in Tree Diversity’, Forest diversity and function (Springer 2005); Hervé Jactel and others, ‘Tree Diversity Drives Forest Stand Resistance to Natural Disturbances’ (2017) 3 Current Forestry Reports 223; Hervé Jactel and Eckehard G Brockerhoff, ‘Tree Diversity Reduces Herbivory by Forest Insects’ (2007) 10 Ecology Letters 835.","previouslyFormattedCitation":"M Pautasso, O Holdenrieder and J Stenlid, ‘Susceptibility to Fungal Pathogens of Forests Differing in Tree Diversity’, &lt;i&gt;Forest diversity and function&lt;/i&gt; (Springer 2005); Hervé Jactel and others, ‘Tree Diversity Drives Forest Stand Resistance to Natural Disturbances’ (2017) 3 Current Forestry Reports 223; Hervé Jactel and Eckehard G Brockerhoff, ‘Tree Diversity Reduces Herbivory by Forest Insects’ (2007) 10 Ecology Letters 835."},"properties":{"noteIndex":2},"schema":"https://github.com/citation-style-language/schema/raw/master/csl-citation.json"}</w:instrText>
      </w:r>
      <w:r>
        <w:fldChar w:fldCharType="separate"/>
      </w:r>
      <w:r>
        <w:rPr>
          <w:noProof/>
        </w:rPr>
        <w:t xml:space="preserve">M Pautasso, O Holdenrieder and J Stenlid, ‘Susceptibility to Fungal Pathogens of Forests Differing in Tree Diversity’, </w:t>
      </w:r>
      <w:r>
        <w:rPr>
          <w:i/>
          <w:noProof/>
        </w:rPr>
        <w:t>Forest diversity and function</w:t>
      </w:r>
      <w:r>
        <w:rPr>
          <w:noProof/>
        </w:rPr>
        <w:t xml:space="preserve"> (Springer 2005); Hervé Jactel and others, ‘Tree Diversity Drives Forest Stand Resistance to Natural Disturbances’ (2017) 3 Current Forestry Reports 223; Hervé Jactel and Eckehard G Brockerhoff, ‘Tree Diversity Reduces Herbivory by Forest Insects’ (2007) 10 Ecology Letters 835.</w:t>
      </w:r>
      <w:r>
        <w:fldChar w:fldCharType="end"/>
      </w:r>
    </w:p>
  </w:footnote>
  <w:footnote w:id="4">
    <w:p w14:paraId="5BA97218" w14:textId="77777777" w:rsidR="00CF219B" w:rsidRDefault="00CF219B" w:rsidP="00CF219B">
      <w:pPr>
        <w:pStyle w:val="FootnoteText"/>
        <w:rPr>
          <w:rFonts w:ascii="Arial" w:eastAsia="Arial" w:hAnsi="Arial"/>
          <w:szCs w:val="20"/>
          <w:lang w:val="en-GB"/>
        </w:rPr>
      </w:pPr>
      <w:r>
        <w:rPr>
          <w:rStyle w:val="FootnoteReference"/>
        </w:rPr>
        <w:footnoteRef/>
      </w:r>
      <w:r>
        <w:t xml:space="preserve"> </w:t>
      </w:r>
      <w:r>
        <w:fldChar w:fldCharType="begin" w:fldLock="1"/>
      </w:r>
      <w:r>
        <w:instrText>ADDIN CSL_CITATION {"citationItems":[{"id":"ITEM-1","itemData":{"DOI":"10.1016/j.tecto.2004.03.026","ISSN":"00401951","abstract":"The ground motion hazard for Sumatra and the Malaysian peninsula is calculated in a probabilistic framework, using procedures developed for the US National Seismic Hazard Maps. We constructed regional earthquake source models and used standard published and modified attenuation equations to calculate peak ground acceleration at 2% and 10% probability of exceedance in 50 years for rock site conditions. We developed or modified earthquake catalogs and declustered these catalogs to include only independent earthquakes. The resulting catalogs were used to define four source zones that characterize earthquakes in four tectonic environments: subduction zone interface earthquakes, subduction zone deep intraslab earthquakes, strike-slip transform earthquakes, and intraplate earthquakes. The recurrence rates and sizes of historical earthquakes on known faults and across zones were also determined from this modified catalog. In addition to the source zones, our seismic source model considers two major faults that are known historically to generate large earthquakes: the Sumatran subduction zone and the Sumatran transform fault. Several published studies were used to describe earthquakes along these faults during historical and pre-historical time, as well as to identify segmentation models of faults. Peak horizontal ground accelerations were calculated using ground motion prediction relations that were developed from seismic data obtained from the crustal interplate environment, crustal intraplate environment, along the subduction zone interface, and from deep intraslab earthquakes. Most of these relations, however, have not been developed for large distances that are needed for calculating the hazard across the Malaysian peninsula, and none were developed for earthquake ground motions generated in an interplate tectonic environment that are propagated into an intraplate tectonic environment. For the interplate and intraplate crustal earthquakes, we have applied ground-motion prediction relations that are consistent with California (interplate) and India (intraplate) strong motion data that we collected for distances beyond 200 km. For the subduction zone equations, we recognized that the published relationships at large distances were not consistent with global earthquake data that we collected and modified the relations to be compatible with the global subduction zone ground motions. In this analysis, we have used alternative source and attenuation models and w…","author":[{"dropping-particle":"","family":"Petersen","given":"Mark D.","non-dropping-particle":"","parse-names":false,"suffix":""},{"dropping-particle":"","family":"Dewey","given":"James","non-dropping-particle":"","parse-names":false,"suffix":""},{"dropping-particle":"","family":"Hartzell","given":"Stephan","non-dropping-particle":"","parse-names":false,"suffix":""},{"dropping-particle":"","family":"Mueller","given":"Charles","non-dropping-particle":"","parse-names":false,"suffix":""},{"dropping-particle":"","family":"Harmsen","given":"Stephan","non-dropping-particle":"","parse-names":false,"suffix":""},{"dropping-particle":"","family":"Frankel","given":"Arthur D.","non-dropping-particle":"","parse-names":false,"suffix":""},{"dropping-particle":"","family":"Rukstales","given":"Ken","non-dropping-particle":"","parse-names":false,"suffix":""}],"container-title":"Tectonophysics","id":"ITEM-1","issue":"1-4","issued":{"date-parts":[["2004"]]},"page":"141-158","title":"Probabilistic seismic hazard analysis for Sumatra, Indonesia and across the Southern Malaysian Peninsula","type":"article-journal","volume":"390"},"uris":["http://www.mendeley.com/documents/?uuid=171c2da4-7941-48e4-a285-261c6278fd12"]}],"mendeley":{"formattedCitation":"Mark D Petersen and others, ‘Probabilistic Seismic Hazard Analysis for Sumatra, Indonesia and across the Southern Malaysian Peninsula’ (2004) 390 Tectonophysics 141.","plainTextFormattedCitation":"Mark D Petersen and others, ‘Probabilistic Seismic Hazard Analysis for Sumatra, Indonesia and across the Southern Malaysian Peninsula’ (2004) 390 Tectonophysics 141."},"properties":{"noteIndex":1},"schema":"https://github.com/citation-style-language/schema/raw/master/csl-citation.json"}</w:instrText>
      </w:r>
      <w:r>
        <w:fldChar w:fldCharType="separate"/>
      </w:r>
      <w:r>
        <w:rPr>
          <w:noProof/>
        </w:rPr>
        <w:t>Mark D Petersen and others, ‘Probabilistic Seismic Hazard Analysis for Sumatra, Indonesia and across the Southern Malaysian Peninsula’ (2004) 390 Tectonophysics 141.</w:t>
      </w:r>
      <w:r>
        <w:fldChar w:fldCharType="end"/>
      </w:r>
    </w:p>
  </w:footnote>
  <w:footnote w:id="5">
    <w:p w14:paraId="0E8AE46E" w14:textId="77777777" w:rsidR="00CF219B" w:rsidRDefault="00CF219B" w:rsidP="00CF219B">
      <w:pPr>
        <w:pStyle w:val="FootnoteText"/>
        <w:rPr>
          <w:lang w:val="en-GB"/>
        </w:rPr>
      </w:pPr>
      <w:r>
        <w:rPr>
          <w:rStyle w:val="FootnoteReference"/>
        </w:rPr>
        <w:footnoteRef/>
      </w:r>
      <w:r>
        <w:t xml:space="preserve"> </w:t>
      </w:r>
      <w:r>
        <w:fldChar w:fldCharType="begin" w:fldLock="1"/>
      </w:r>
      <w:r>
        <w:instrText>ADDIN CSL_CITATION {"citationItems":[{"id":"ITEM-1","itemData":{"DOI":"10.1016/j.tecto.2004.03.026","ISSN":"00401951","abstract":"The ground motion hazard for Sumatra and the Malaysian peninsula is calculated in a probabilistic framework, using procedures developed for the US National Seismic Hazard Maps. We constructed regional earthquake source models and used standard published and modified attenuation equations to calculate peak ground acceleration at 2% and 10% probability of exceedance in 50 years for rock site conditions. We developed or modified earthquake catalogs and declustered these catalogs to include only independent earthquakes. The resulting catalogs were used to define four source zones that characterize earthquakes in four tectonic environments: subduction zone interface earthquakes, subduction zone deep intraslab earthquakes, strike-slip transform earthquakes, and intraplate earthquakes. The recurrence rates and sizes of historical earthquakes on known faults and across zones were also determined from this modified catalog. In addition to the source zones, our seismic source model considers two major faults that are known historically to generate large earthquakes: the Sumatran subduction zone and the Sumatran transform fault. Several published studies were used to describe earthquakes along these faults during historical and pre-historical time, as well as to identify segmentation models of faults. Peak horizontal ground accelerations were calculated using ground motion prediction relations that were developed from seismic data obtained from the crustal interplate environment, crustal intraplate environment, along the subduction zone interface, and from deep intraslab earthquakes. Most of these relations, however, have not been developed for large distances that are needed for calculating the hazard across the Malaysian peninsula, and none were developed for earthquake ground motions generated in an interplate tectonic environment that are propagated into an intraplate tectonic environment. For the interplate and intraplate crustal earthquakes, we have applied ground-motion prediction relations that are consistent with California (interplate) and India (intraplate) strong motion data that we collected for distances beyond 200 km. For the subduction zone equations, we recognized that the published relationships at large distances were not consistent with global earthquake data that we collected and modified the relations to be compatible with the global subduction zone ground motions. In this analysis, we have used alternative source and attenuation models and w…","author":[{"dropping-particle":"","family":"Petersen","given":"Mark D.","non-dropping-particle":"","parse-names":false,"suffix":""},{"dropping-particle":"","family":"Dewey","given":"James","non-dropping-particle":"","parse-names":false,"suffix":""},{"dropping-particle":"","family":"Hartzell","given":"Stephan","non-dropping-particle":"","parse-names":false,"suffix":""},{"dropping-particle":"","family":"Mueller","given":"Charles","non-dropping-particle":"","parse-names":false,"suffix":""},{"dropping-particle":"","family":"Harmsen","given":"Stephan","non-dropping-particle":"","parse-names":false,"suffix":""},{"dropping-particle":"","family":"Frankel","given":"Arthur D.","non-dropping-particle":"","parse-names":false,"suffix":""},{"dropping-particle":"","family":"Rukstales","given":"Ken","non-dropping-particle":"","parse-names":false,"suffix":""}],"container-title":"Tectonophysics","id":"ITEM-1","issue":"1-4","issued":{"date-parts":[["2004"]]},"page":"141-158","title":"Probabilistic seismic hazard analysis for Sumatra, Indonesia and across the Southern Malaysian Peninsula","type":"article-journal","volume":"390"},"uris":["http://www.mendeley.com/documents/?uuid=171c2da4-7941-48e4-a285-261c6278fd12"]}],"mendeley":{"formattedCitation":"Petersen and others (n 1).","plainTextFormattedCitation":"Petersen and others (n 1).","previouslyFormattedCitation":"Mark D Petersen and others, ‘Probabilistic Seismic Hazard Analysis for Sumatra, Indonesia and across the Southern Malaysian Peninsula’ (2004) 390 Tectonophysics 141."},"properties":{"noteIndex":2},"schema":"https://github.com/citation-style-language/schema/raw/master/csl-citation.json"}</w:instrText>
      </w:r>
      <w:r>
        <w:fldChar w:fldCharType="separate"/>
      </w:r>
      <w:r>
        <w:rPr>
          <w:noProof/>
        </w:rPr>
        <w:t>Petersen and others (n 1).</w:t>
      </w:r>
      <w:r>
        <w:fldChar w:fldCharType="end"/>
      </w:r>
    </w:p>
  </w:footnote>
  <w:footnote w:id="6">
    <w:p w14:paraId="0169FE0C" w14:textId="77777777" w:rsidR="00CF219B" w:rsidRDefault="00CF219B" w:rsidP="00CF219B">
      <w:pPr>
        <w:pStyle w:val="FootnoteText"/>
        <w:rPr>
          <w:lang w:val="en-GB"/>
        </w:rPr>
      </w:pPr>
      <w:r>
        <w:rPr>
          <w:rStyle w:val="FootnoteReference"/>
        </w:rPr>
        <w:footnoteRef/>
      </w:r>
      <w:r>
        <w:t xml:space="preserve"> </w:t>
      </w:r>
      <w:r>
        <w:fldChar w:fldCharType="begin" w:fldLock="1"/>
      </w:r>
      <w:r>
        <w:instrText>ADDIN CSL_CITATION {"citationItems":[{"id":"ITEM-1","itemData":{"DOI":"10.1016/j.tecto.2004.03.026","ISSN":"00401951","abstract":"The ground motion hazard for Sumatra and the Malaysian peninsula is calculated in a probabilistic framework, using procedures developed for the US National Seismic Hazard Maps. We constructed regional earthquake source models and used standard published and modified attenuation equations to calculate peak ground acceleration at 2% and 10% probability of exceedance in 50 years for rock site conditions. We developed or modified earthquake catalogs and declustered these catalogs to include only independent earthquakes. The resulting catalogs were used to define four source zones that characterize earthquakes in four tectonic environments: subduction zone interface earthquakes, subduction zone deep intraslab earthquakes, strike-slip transform earthquakes, and intraplate earthquakes. The recurrence rates and sizes of historical earthquakes on known faults and across zones were also determined from this modified catalog. In addition to the source zones, our seismic source model considers two major faults that are known historically to generate large earthquakes: the Sumatran subduction zone and the Sumatran transform fault. Several published studies were used to describe earthquakes along these faults during historical and pre-historical time, as well as to identify segmentation models of faults. Peak horizontal ground accelerations were calculated using ground motion prediction relations that were developed from seismic data obtained from the crustal interplate environment, crustal intraplate environment, along the subduction zone interface, and from deep intraslab earthquakes. Most of these relations, however, have not been developed for large distances that are needed for calculating the hazard across the Malaysian peninsula, and none were developed for earthquake ground motions generated in an interplate tectonic environment that are propagated into an intraplate tectonic environment. For the interplate and intraplate crustal earthquakes, we have applied ground-motion prediction relations that are consistent with California (interplate) and India (intraplate) strong motion data that we collected for distances beyond 200 km. For the subduction zone equations, we recognized that the published relationships at large distances were not consistent with global earthquake data that we collected and modified the relations to be compatible with the global subduction zone ground motions. In this analysis, we have used alternative source and attenuation models and w…","author":[{"dropping-particle":"","family":"Petersen","given":"Mark D.","non-dropping-particle":"","parse-names":false,"suffix":""},{"dropping-particle":"","family":"Dewey","given":"James","non-dropping-particle":"","parse-names":false,"suffix":""},{"dropping-particle":"","family":"Hartzell","given":"Stephan","non-dropping-particle":"","parse-names":false,"suffix":""},{"dropping-particle":"","family":"Mueller","given":"Charles","non-dropping-particle":"","parse-names":false,"suffix":""},{"dropping-particle":"","family":"Harmsen","given":"Stephan","non-dropping-particle":"","parse-names":false,"suffix":""},{"dropping-particle":"","family":"Frankel","given":"Arthur D.","non-dropping-particle":"","parse-names":false,"suffix":""},{"dropping-particle":"","family":"Rukstales","given":"Ken","non-dropping-particle":"","parse-names":false,"suffix":""}],"container-title":"Tectonophysics","id":"ITEM-1","issue":"1-4","issued":{"date-parts":[["2004"]]},"page":"141-158","title":"Probabilistic seismic hazard analysis for Sumatra, Indonesia and across the Southern Malaysian Peninsula","type":"article-journal","volume":"390"},"uris":["http://www.mendeley.com/documents/?uuid=171c2da4-7941-48e4-a285-261c6278fd12"]},{"id":"ITEM-2","itemData":{"URL":"https://en.wikipedia.org/wiki/List_of_earthquakes_in_Indonesia#/media/File:Map_of_earthquakes_in_Indonesia_1900-2019.svg","accessed":{"date-parts":[["2019","10","1"]]},"author":[{"dropping-particle":"","family":"Wikipedia","given":"","non-dropping-particle":"","parse-names":false,"suffix":""}],"id":"ITEM-2","issued":{"date-parts":[["2019"]]},"title":"Map of earthquakes in Indonesia 1900-2019","type":"webpage"},"uris":["http://www.mendeley.com/documents/?uuid=96fea8f8-6658-4fc1-8c96-a507c55e7cca"]}],"mendeley":{"formattedCitation":"Petersen and others (n 1); Wikipedia, ‘Map of Earthquakes in Indonesia 1900-2019’ (2019) &lt;https://en.wikipedia.org/wiki/List_of_earthquakes_in_Indonesia#/media/File:Map_of_earthquakes_in_Indonesia_1900-2019.svg&gt; accessed 1 October 2019.","plainTextFormattedCitation":"Petersen and others (n 1); Wikipedia, ‘Map of Earthquakes in Indonesia 1900-2019’ (2019)  accessed 1 October 2019.","previouslyFormattedCitation":"Petersen and others (n 1); Wikipedia, ‘Map of Earthquakes in Indonesia 1900-2019’ (2019) &lt;https://en.wikipedia.org/wiki/List_of_earthquakes_in_Indonesia#/media/File:Map_of_earthquakes_in_Indonesia_1900-2019.svg&gt; accessed 1 October 2019."},"properties":{"noteIndex":3},"schema":"https://github.com/citation-style-language/schema/raw/master/csl-citation.json"}</w:instrText>
      </w:r>
      <w:r>
        <w:fldChar w:fldCharType="separate"/>
      </w:r>
      <w:r>
        <w:rPr>
          <w:noProof/>
        </w:rPr>
        <w:t>Petersen and others (n 1); Wikipedia, ‘Map of Earthquakes in Indonesia 1900-2019’ (2019) &lt;https://en.wikipedia.org/wiki/List_of_earthquakes_in_Indonesia#/media/File:Map_of_earthquakes_in_Indonesia_1900-2019.svg&gt; accessed 1 October 2019.</w:t>
      </w:r>
      <w:r>
        <w:fldChar w:fldCharType="end"/>
      </w:r>
    </w:p>
  </w:footnote>
  <w:footnote w:id="7">
    <w:p w14:paraId="5A43BAAB" w14:textId="77777777" w:rsidR="00CF219B" w:rsidRDefault="00CF219B" w:rsidP="00CF219B">
      <w:pPr>
        <w:pStyle w:val="FootnoteText"/>
      </w:pPr>
      <w:r>
        <w:rPr>
          <w:rStyle w:val="FootnoteReference"/>
        </w:rPr>
        <w:footnoteRef/>
      </w:r>
      <w:r>
        <w:t xml:space="preserve"> https://en.wikipedia.org/wiki/Geology_of_Indonesia</w:t>
      </w:r>
    </w:p>
  </w:footnote>
  <w:footnote w:id="8">
    <w:p w14:paraId="735D27AF" w14:textId="77777777" w:rsidR="00CF219B" w:rsidRDefault="00CF219B" w:rsidP="00CF219B">
      <w:pPr>
        <w:pStyle w:val="FootnoteText"/>
        <w:rPr>
          <w:lang w:val="en-GB"/>
        </w:rPr>
      </w:pPr>
      <w:r>
        <w:rPr>
          <w:rStyle w:val="FootnoteReference"/>
        </w:rPr>
        <w:footnoteRef/>
      </w:r>
      <w:r>
        <w:t xml:space="preserve"> </w:t>
      </w:r>
      <w:r>
        <w:fldChar w:fldCharType="begin" w:fldLock="1"/>
      </w:r>
      <w:r>
        <w:instrText>ADDIN CSL_CITATION {"citationItems":[{"id":"ITEM-1","itemData":{"URL":"https://www.ngdc.noaa.gov/nndc/struts/results?ge_23=1750&amp;le_23=2019&amp;type_15=Like&amp;query_15=&amp;op_30=eq&amp;v_30=&amp;type_16=Like&amp;query_16=Sumatra&amp;op_29=eq&amp;v_29=Indonesia&amp;type_31=EXACT&amp;query_31=06&amp;le_17=&amp;ge_18=&amp;le_18=&amp;ge_17=&amp;op_20=eq&amp;v_20=&amp;ge_7=&amp;le_7=&amp;bt_24=&amp;st_24=&amp;ge_25=&amp;le_25=&amp;bt_26=&amp;st_26=&amp;ge_27=&amp;le_27=&amp;type_13=Like&amp;query_13=&amp;type_12=Exact&amp;query_12=&amp;type_11=Exact&amp;query_11=&amp;display_look=50&amp;t=102557&amp;s=50","accessed":{"date-parts":[["2019","10","1"]]},"author":[{"dropping-particle":"","family":"NOAA","given":"","non-dropping-particle":"","parse-names":false,"suffix":""}],"id":"ITEM-1","issued":{"date-parts":[["2019"]]},"title":"NOAA Significant Volcanic Eruptions Database (Sumatra: 1750-2019)","type":"webpage"},"uris":["http://www.mendeley.com/documents/?uuid=24795329-be44-4b38-b5dd-0f3a1e8d7a74"]}],"mendeley":{"formattedCitation":"NOAA, ‘NOAA Significant Volcanic Eruptions Database (Sumatra: 1750-2019)’ (2019) &lt;https://www.ngdc.noaa.gov/nndc/struts/results?ge_23=1750&amp;le_23=2019&amp;type_15=Like&amp;query_15=&amp;op_30=eq&amp;v_30=&amp;type_16=Like&amp;query_16=Sumatra&amp;op_29=eq&amp;v_29=Indonesia&amp;type_31=EXACT&amp;query_31=06&amp;le_17=&amp;ge_18=&amp;le_18=&amp;ge_17=&amp;op_20=eq&amp;v_20=&amp;ge_7=&amp;le_7=&amp;bt_24=&amp;st_24=&amp;ge_25=&amp;le_25=&amp;bt_26=&amp;st_26=&amp;ge_27=&amp;le_27=&amp;type_13=Like&amp;query_13=&amp;type_12=Exact&amp;query_12=&amp;type_11=Exact&amp;query_11=&amp;display_look=50&amp;t=102557&amp;s=50&gt; accessed 1 October 2019.","plainTextFormattedCitation":"NOAA, ‘NOAA Significant Volcanic Eruptions Database (Sumatra: 1750-2019)’ (2019)  accessed 1 October 2019.","previouslyFormattedCitation":"NOAA, ‘NOAA Significant Volcanic Eruptions Database (Sumatra: 1750-2019)’ (2019) &lt;https://www.ngdc.noaa.gov/nndc/struts/results?ge_23=1750&amp;le_23=2019&amp;type_15=Like&amp;query_15=&amp;op_30=eq&amp;v_30=&amp;type_16=Like&amp;query_16=Sumatra&amp;op_29=eq&amp;v_29=Indonesia&amp;type_31=EXACT&amp;query_31=06&amp;le_17=&amp;ge_18=&amp;le_18=&amp;ge_17=&amp;op_20=eq&amp;v_20=&amp;ge_7=&amp;le_7=&amp;bt_24=&amp;st_24=&amp;ge_25=&amp;le_25=&amp;bt_26=&amp;st_26=&amp;ge_27=&amp;le_27=&amp;type_13=Like&amp;query_13=&amp;type_12=Exact&amp;query_12=&amp;type_11=Exact&amp;query_11=&amp;display_look=50&amp;t=102557&amp;s=50&gt; accessed 1 October 2019."},"properties":{"noteIndex":5},"schema":"https://github.com/citation-style-language/schema/raw/master/csl-citation.json"}</w:instrText>
      </w:r>
      <w:r>
        <w:fldChar w:fldCharType="separate"/>
      </w:r>
      <w:r>
        <w:rPr>
          <w:noProof/>
        </w:rPr>
        <w:t>NOAA, ‘NOAA Significant Volcanic Eruptions Database (Sumatra: 1750-2019)’ (2019) &lt;https://www.ngdc.noaa.gov/nndc/struts/results?ge_23=1750&amp;le_23=2019&amp;type_15=Like&amp;query_15=&amp;op_30=eq&amp;v_30=&amp;type_16=Like&amp;query_16=Sumatra&amp;op_29=eq&amp;v_29=Indonesia&amp;type_31=EXACT&amp;query_31=06&amp;le_17=&amp;ge_18=&amp;le_18=&amp;ge_17=&amp;op_20=eq&amp;v_20=&amp;ge_7=&amp;le_7=&amp;bt_24=&amp;st_24=&amp;ge_25=&amp;le_25=&amp;bt_26=&amp;st_26=&amp;ge_27=&amp;le_27=&amp;type_13=Like&amp;query_13=&amp;type_12=Exact&amp;query_12=&amp;type_11=Exact&amp;query_11=&amp;display_look=50&amp;t=102557&amp;s=50&gt; accessed 1 October 2019.</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5CA8A9" w14:textId="39B8B8A6" w:rsidR="007130E3" w:rsidRPr="002A3A28" w:rsidRDefault="007130E3" w:rsidP="002A3A28">
    <w:pPr>
      <w:pBdr>
        <w:bottom w:val="single" w:sz="4" w:space="1" w:color="A6A6A6" w:themeColor="background1" w:themeShade="A6"/>
      </w:pBdr>
      <w:tabs>
        <w:tab w:val="left" w:pos="1014"/>
        <w:tab w:val="center" w:pos="4680"/>
        <w:tab w:val="right" w:pos="9360"/>
      </w:tabs>
      <w:spacing w:after="0" w:line="240" w:lineRule="auto"/>
      <w:jc w:val="right"/>
      <w:rPr>
        <w:rFonts w:ascii="Century Gothic" w:hAnsi="Century Gothic"/>
        <w:color w:val="262626"/>
        <w14:textFill>
          <w14:solidFill>
            <w14:srgbClr w14:val="262626">
              <w14:lumMod w14:val="65000"/>
              <w14:lumOff w14:val="35000"/>
              <w14:lumMod w14:val="65000"/>
              <w14:lumOff w14:val="35000"/>
            </w14:srgbClr>
          </w14:solidFill>
        </w14:textFill>
      </w:rPr>
    </w:pPr>
    <w:r>
      <w:rPr>
        <w:rFonts w:ascii="Century Gothic" w:hAnsi="Century Gothic"/>
        <w:noProof/>
        <w:color w:val="262626"/>
        <w:szCs w:val="21"/>
      </w:rPr>
      <w:drawing>
        <wp:anchor distT="0" distB="0" distL="114300" distR="114300" simplePos="0" relativeHeight="251659264" behindDoc="1" locked="0" layoutInCell="1" allowOverlap="1" wp14:anchorId="18D0FBD3" wp14:editId="5BB4ED25">
          <wp:simplePos x="0" y="0"/>
          <wp:positionH relativeFrom="margin">
            <wp:posOffset>190704</wp:posOffset>
          </wp:positionH>
          <wp:positionV relativeFrom="paragraph">
            <wp:posOffset>-188259</wp:posOffset>
          </wp:positionV>
          <wp:extent cx="912432" cy="364972"/>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DVISta-Logo-Short-Color JPE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2432" cy="364972"/>
                  </a:xfrm>
                  <a:prstGeom prst="rect">
                    <a:avLst/>
                  </a:prstGeom>
                </pic:spPr>
              </pic:pic>
            </a:graphicData>
          </a:graphic>
          <wp14:sizeRelH relativeFrom="margin">
            <wp14:pctWidth>0</wp14:pctWidth>
          </wp14:sizeRelH>
        </wp:anchor>
      </w:drawing>
    </w:r>
    <w:r>
      <w:rPr>
        <w:rFonts w:ascii="Century Gothic" w:hAnsi="Century Gothic"/>
        <w:noProof/>
        <w:color w:val="262626"/>
        <w:szCs w:val="21"/>
        <w14:textFill>
          <w14:solidFill>
            <w14:srgbClr w14:val="262626">
              <w14:lumMod w14:val="65000"/>
              <w14:lumOff w14:val="35000"/>
              <w14:lumMod w14:val="65000"/>
              <w14:lumOff w14:val="35000"/>
            </w14:srgbClr>
          </w14:solidFill>
        </w14:textFill>
      </w:rPr>
      <w:tab/>
    </w:r>
    <w:r w:rsidR="002A7473">
      <w:rPr>
        <w:rFonts w:ascii="Century Gothic" w:hAnsi="Century Gothic"/>
        <w:noProof/>
        <w:color w:val="262626"/>
        <w:szCs w:val="21"/>
        <w14:textFill>
          <w14:solidFill>
            <w14:srgbClr w14:val="262626">
              <w14:lumMod w14:val="65000"/>
              <w14:lumOff w14:val="35000"/>
              <w14:lumMod w14:val="65000"/>
              <w14:lumOff w14:val="35000"/>
            </w14:srgbClr>
          </w14:solidFill>
        </w14:textFill>
      </w:rPr>
      <w:t>Non-Permanence Risk Report</w:t>
    </w:r>
    <w:r>
      <w:rPr>
        <w:rFonts w:ascii="Century Gothic" w:hAnsi="Century Gothic"/>
        <w:noProof/>
        <w:color w:val="262626"/>
        <w:szCs w:val="21"/>
        <w14:textFill>
          <w14:solidFill>
            <w14:srgbClr w14:val="262626">
              <w14:lumMod w14:val="65000"/>
              <w14:lumOff w14:val="35000"/>
              <w14:lumMod w14:val="65000"/>
              <w14:lumOff w14:val="35000"/>
            </w14:srgbClr>
          </w14:solidFill>
        </w14:textFill>
      </w:rPr>
      <w:t xml:space="preserve">: </w:t>
    </w:r>
    <w:r w:rsidR="00AE379A">
      <w:rPr>
        <w:rFonts w:ascii="Century Gothic" w:hAnsi="Century Gothic"/>
        <w:noProof/>
        <w:color w:val="262626"/>
        <w:szCs w:val="21"/>
        <w14:textFill>
          <w14:solidFill>
            <w14:srgbClr w14:val="262626">
              <w14:lumMod w14:val="65000"/>
              <w14:lumOff w14:val="35000"/>
              <w14:lumMod w14:val="65000"/>
              <w14:lumOff w14:val="35000"/>
            </w14:srgbClr>
          </w14:solidFill>
        </w14:textFill>
      </w:rPr>
      <w:t>VCS</w:t>
    </w:r>
    <w:r>
      <w:rPr>
        <w:rFonts w:ascii="Century Gothic" w:hAnsi="Century Gothic"/>
        <w:noProof/>
        <w:color w:val="262626"/>
        <w:szCs w:val="21"/>
        <w14:textFill>
          <w14:solidFill>
            <w14:srgbClr w14:val="262626">
              <w14:lumMod w14:val="65000"/>
              <w14:lumOff w14:val="35000"/>
              <w14:lumMod w14:val="65000"/>
              <w14:lumOff w14:val="35000"/>
            </w14:srgbClr>
          </w14:solidFill>
        </w14:textFill>
      </w:rPr>
      <w:t xml:space="preserve"> Version </w:t>
    </w:r>
    <w:r w:rsidR="00AE379A">
      <w:rPr>
        <w:rFonts w:ascii="Century Gothic" w:hAnsi="Century Gothic"/>
        <w:noProof/>
        <w:color w:val="262626"/>
        <w:szCs w:val="21"/>
        <w14:textFill>
          <w14:solidFill>
            <w14:srgbClr w14:val="262626">
              <w14:lumMod w14:val="65000"/>
              <w14:lumOff w14:val="35000"/>
              <w14:lumMod w14:val="65000"/>
              <w14:lumOff w14:val="35000"/>
            </w14:srgbClr>
          </w14:solidFill>
        </w14:textFill>
      </w:rPr>
      <w:t>4</w:t>
    </w:r>
    <w:r w:rsidR="00863224">
      <w:rPr>
        <w:rFonts w:ascii="Century Gothic" w:hAnsi="Century Gothic"/>
        <w:noProof/>
        <w:color w:val="262626"/>
        <w:szCs w:val="21"/>
        <w14:textFill>
          <w14:solidFill>
            <w14:srgbClr w14:val="262626">
              <w14:lumMod w14:val="65000"/>
              <w14:lumOff w14:val="35000"/>
              <w14:lumMod w14:val="65000"/>
              <w14:lumOff w14:val="35000"/>
            </w14:srgbClr>
          </w14:solidFill>
        </w14:textFill>
      </w:rPr>
      <w:t>.0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083F57"/>
    <w:multiLevelType w:val="hybridMultilevel"/>
    <w:tmpl w:val="457AAE2A"/>
    <w:lvl w:ilvl="0" w:tplc="04090001">
      <w:start w:val="1"/>
      <w:numFmt w:val="bullet"/>
      <w:lvlText w:val=""/>
      <w:lvlJc w:val="left"/>
      <w:pPr>
        <w:ind w:left="871" w:hanging="360"/>
      </w:pPr>
      <w:rPr>
        <w:rFonts w:ascii="Symbol" w:hAnsi="Symbol" w:hint="default"/>
      </w:rPr>
    </w:lvl>
    <w:lvl w:ilvl="1" w:tplc="04090003" w:tentative="1">
      <w:start w:val="1"/>
      <w:numFmt w:val="bullet"/>
      <w:lvlText w:val="o"/>
      <w:lvlJc w:val="left"/>
      <w:pPr>
        <w:ind w:left="1591" w:hanging="360"/>
      </w:pPr>
      <w:rPr>
        <w:rFonts w:ascii="Courier New" w:hAnsi="Courier New" w:cs="Courier New" w:hint="default"/>
      </w:rPr>
    </w:lvl>
    <w:lvl w:ilvl="2" w:tplc="04090005" w:tentative="1">
      <w:start w:val="1"/>
      <w:numFmt w:val="bullet"/>
      <w:lvlText w:val=""/>
      <w:lvlJc w:val="left"/>
      <w:pPr>
        <w:ind w:left="2311" w:hanging="360"/>
      </w:pPr>
      <w:rPr>
        <w:rFonts w:ascii="Wingdings" w:hAnsi="Wingdings" w:hint="default"/>
      </w:rPr>
    </w:lvl>
    <w:lvl w:ilvl="3" w:tplc="04090001" w:tentative="1">
      <w:start w:val="1"/>
      <w:numFmt w:val="bullet"/>
      <w:lvlText w:val=""/>
      <w:lvlJc w:val="left"/>
      <w:pPr>
        <w:ind w:left="3031" w:hanging="360"/>
      </w:pPr>
      <w:rPr>
        <w:rFonts w:ascii="Symbol" w:hAnsi="Symbol" w:hint="default"/>
      </w:rPr>
    </w:lvl>
    <w:lvl w:ilvl="4" w:tplc="04090003" w:tentative="1">
      <w:start w:val="1"/>
      <w:numFmt w:val="bullet"/>
      <w:lvlText w:val="o"/>
      <w:lvlJc w:val="left"/>
      <w:pPr>
        <w:ind w:left="3751" w:hanging="360"/>
      </w:pPr>
      <w:rPr>
        <w:rFonts w:ascii="Courier New" w:hAnsi="Courier New" w:cs="Courier New" w:hint="default"/>
      </w:rPr>
    </w:lvl>
    <w:lvl w:ilvl="5" w:tplc="04090005" w:tentative="1">
      <w:start w:val="1"/>
      <w:numFmt w:val="bullet"/>
      <w:lvlText w:val=""/>
      <w:lvlJc w:val="left"/>
      <w:pPr>
        <w:ind w:left="4471" w:hanging="360"/>
      </w:pPr>
      <w:rPr>
        <w:rFonts w:ascii="Wingdings" w:hAnsi="Wingdings" w:hint="default"/>
      </w:rPr>
    </w:lvl>
    <w:lvl w:ilvl="6" w:tplc="04090001" w:tentative="1">
      <w:start w:val="1"/>
      <w:numFmt w:val="bullet"/>
      <w:lvlText w:val=""/>
      <w:lvlJc w:val="left"/>
      <w:pPr>
        <w:ind w:left="5191" w:hanging="360"/>
      </w:pPr>
      <w:rPr>
        <w:rFonts w:ascii="Symbol" w:hAnsi="Symbol" w:hint="default"/>
      </w:rPr>
    </w:lvl>
    <w:lvl w:ilvl="7" w:tplc="04090003" w:tentative="1">
      <w:start w:val="1"/>
      <w:numFmt w:val="bullet"/>
      <w:lvlText w:val="o"/>
      <w:lvlJc w:val="left"/>
      <w:pPr>
        <w:ind w:left="5911" w:hanging="360"/>
      </w:pPr>
      <w:rPr>
        <w:rFonts w:ascii="Courier New" w:hAnsi="Courier New" w:cs="Courier New" w:hint="default"/>
      </w:rPr>
    </w:lvl>
    <w:lvl w:ilvl="8" w:tplc="04090005" w:tentative="1">
      <w:start w:val="1"/>
      <w:numFmt w:val="bullet"/>
      <w:lvlText w:val=""/>
      <w:lvlJc w:val="left"/>
      <w:pPr>
        <w:ind w:left="6631" w:hanging="360"/>
      </w:pPr>
      <w:rPr>
        <w:rFonts w:ascii="Wingdings" w:hAnsi="Wingdings" w:hint="default"/>
      </w:rPr>
    </w:lvl>
  </w:abstractNum>
  <w:abstractNum w:abstractNumId="1" w15:restartNumberingAfterBreak="0">
    <w:nsid w:val="01D44390"/>
    <w:multiLevelType w:val="hybridMultilevel"/>
    <w:tmpl w:val="7CE020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D924455"/>
    <w:multiLevelType w:val="hybridMultilevel"/>
    <w:tmpl w:val="AA10C2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512AD4"/>
    <w:multiLevelType w:val="multilevel"/>
    <w:tmpl w:val="FDB6B3A4"/>
    <w:lvl w:ilvl="0">
      <w:start w:val="1"/>
      <w:numFmt w:val="decimal"/>
      <w:lvlText w:val="%1)"/>
      <w:lvlJc w:val="left"/>
      <w:pPr>
        <w:ind w:left="108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4" w15:restartNumberingAfterBreak="0">
    <w:nsid w:val="1BBC289D"/>
    <w:multiLevelType w:val="hybridMultilevel"/>
    <w:tmpl w:val="CD688C6C"/>
    <w:lvl w:ilvl="0" w:tplc="10CA6A42">
      <w:start w:val="1"/>
      <w:numFmt w:val="bullet"/>
      <w:pStyle w:val="Bullets"/>
      <w:lvlText w:val=""/>
      <w:lvlJc w:val="left"/>
      <w:pPr>
        <w:ind w:left="1440" w:hanging="360"/>
      </w:pPr>
      <w:rPr>
        <w:rFonts w:ascii="Symbol" w:hAnsi="Symbol" w:hint="default"/>
        <w:color w:val="57595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0396249"/>
    <w:multiLevelType w:val="multilevel"/>
    <w:tmpl w:val="24C60272"/>
    <w:lvl w:ilvl="0">
      <w:start w:val="1"/>
      <w:numFmt w:val="decimal"/>
      <w:pStyle w:val="ListParagraph"/>
      <w:lvlText w:val="%1)"/>
      <w:lvlJc w:val="left"/>
      <w:pPr>
        <w:ind w:left="1080" w:hanging="360"/>
      </w:pPr>
      <w:rPr>
        <w:rFonts w:hint="default"/>
        <w:i/>
      </w:rPr>
    </w:lvl>
    <w:lvl w:ilvl="1">
      <w:start w:val="1"/>
      <w:numFmt w:val="lowerLetter"/>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6" w15:restartNumberingAfterBreak="0">
    <w:nsid w:val="25875291"/>
    <w:multiLevelType w:val="multilevel"/>
    <w:tmpl w:val="B97412DA"/>
    <w:lvl w:ilvl="0">
      <w:start w:val="1"/>
      <w:numFmt w:val="decimal"/>
      <w:lvlText w:val="%1"/>
      <w:lvlJc w:val="left"/>
      <w:pPr>
        <w:ind w:left="3150" w:hanging="720"/>
      </w:pPr>
      <w:rPr>
        <w:rFonts w:hint="default"/>
        <w:color w:val="2B3A57"/>
      </w:rPr>
    </w:lvl>
    <w:lvl w:ilvl="1">
      <w:start w:val="1"/>
      <w:numFmt w:val="decimal"/>
      <w:lvlText w:val="%1.%2"/>
      <w:lvlJc w:val="left"/>
      <w:pPr>
        <w:ind w:left="6120" w:hanging="720"/>
      </w:pPr>
      <w:rPr>
        <w:rFonts w:ascii="Avenir LT Com 35 Light" w:hAnsi="Avenir LT Com 35 Light" w:cstheme="minorHAnsi" w:hint="default"/>
        <w:b w:val="0"/>
        <w:bCs w:val="0"/>
        <w:i w:val="0"/>
        <w:iCs w:val="0"/>
        <w:caps w:val="0"/>
        <w:smallCaps w:val="0"/>
        <w:strike w:val="0"/>
        <w:dstrike w:val="0"/>
        <w:outline w:val="0"/>
        <w:shadow w:val="0"/>
        <w:emboss w:val="0"/>
        <w:imprint w:val="0"/>
        <w:vanish w:val="0"/>
        <w:webHidden w:val="0"/>
        <w:color w:val="057DA7"/>
        <w:spacing w:val="0"/>
        <w:kern w:val="0"/>
        <w:position w:val="0"/>
        <w:sz w:val="26"/>
        <w:szCs w:val="26"/>
        <w:u w:val="none"/>
        <w:effect w:val="none"/>
        <w:vertAlign w:val="baseline"/>
        <w:em w:val="none"/>
        <w:specVanish w:val="0"/>
        <w14:ligatures w14:val="none"/>
        <w14:numForm w14:val="default"/>
        <w14:numSpacing w14:val="default"/>
        <w14:stylisticSets/>
        <w14:cntxtAlts w14:val="0"/>
      </w:rPr>
    </w:lvl>
    <w:lvl w:ilvl="2">
      <w:start w:val="1"/>
      <w:numFmt w:val="decimal"/>
      <w:lvlText w:val="%1.%2.%3"/>
      <w:lvlJc w:val="left"/>
      <w:pPr>
        <w:ind w:left="1080" w:hanging="720"/>
      </w:pPr>
      <w:rPr>
        <w:rFonts w:ascii="Century Gothic" w:hAnsi="Century Gothic" w:hint="default"/>
        <w:b w:val="0"/>
        <w:bCs w:val="0"/>
        <w:i w:val="0"/>
        <w:iCs w:val="0"/>
        <w:caps w:val="0"/>
        <w:smallCaps w:val="0"/>
        <w:strike w:val="0"/>
        <w:dstrike w:val="0"/>
        <w:outline w:val="0"/>
        <w:shadow w:val="0"/>
        <w:emboss w:val="0"/>
        <w:imprint w:val="0"/>
        <w:noProof w:val="0"/>
        <w:vanish w:val="0"/>
        <w:color w:val="0685B2"/>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3780" w:hanging="720"/>
      </w:pPr>
      <w:rPr>
        <w:rFonts w:hint="default"/>
        <w:b/>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3780" w:hanging="720"/>
      </w:pPr>
      <w:rPr>
        <w:rFonts w:hint="default"/>
        <w:color w:val="DAAE28" w:themeColor="accent1"/>
      </w:rPr>
    </w:lvl>
    <w:lvl w:ilvl="5">
      <w:start w:val="1"/>
      <w:numFmt w:val="decimal"/>
      <w:lvlText w:val="%1.%2.%3.%4.%5.%6"/>
      <w:lvlJc w:val="left"/>
      <w:pPr>
        <w:ind w:left="-3780" w:hanging="720"/>
      </w:pPr>
      <w:rPr>
        <w:rFonts w:hint="default"/>
        <w:color w:val="DAAE28" w:themeColor="accent1"/>
      </w:rPr>
    </w:lvl>
    <w:lvl w:ilvl="6">
      <w:start w:val="1"/>
      <w:numFmt w:val="decimal"/>
      <w:lvlText w:val="%1.%2.%3.%4.%5.%6.%7"/>
      <w:lvlJc w:val="left"/>
      <w:pPr>
        <w:ind w:left="-3780" w:hanging="720"/>
      </w:pPr>
      <w:rPr>
        <w:rFonts w:hint="default"/>
        <w:color w:val="DAAE28" w:themeColor="accent1"/>
      </w:rPr>
    </w:lvl>
    <w:lvl w:ilvl="7">
      <w:start w:val="1"/>
      <w:numFmt w:val="decimal"/>
      <w:lvlText w:val="%1.%2.%3.%4.%5.%6.%7.%8"/>
      <w:lvlJc w:val="left"/>
      <w:pPr>
        <w:ind w:left="-3780" w:hanging="720"/>
      </w:pPr>
      <w:rPr>
        <w:rFonts w:hint="default"/>
        <w:color w:val="DAAE28" w:themeColor="accent1"/>
      </w:rPr>
    </w:lvl>
    <w:lvl w:ilvl="8">
      <w:start w:val="1"/>
      <w:numFmt w:val="decimal"/>
      <w:lvlText w:val="%1.%2.%3.%4.%5.%6.%7.%8.%9"/>
      <w:lvlJc w:val="left"/>
      <w:pPr>
        <w:ind w:left="-3780" w:hanging="720"/>
      </w:pPr>
      <w:rPr>
        <w:rFonts w:hint="default"/>
        <w:color w:val="DAAE28" w:themeColor="accent1"/>
      </w:rPr>
    </w:lvl>
  </w:abstractNum>
  <w:abstractNum w:abstractNumId="7" w15:restartNumberingAfterBreak="0">
    <w:nsid w:val="2CBC55D9"/>
    <w:multiLevelType w:val="multilevel"/>
    <w:tmpl w:val="7D0257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2E5419C9"/>
    <w:multiLevelType w:val="hybridMultilevel"/>
    <w:tmpl w:val="E760F2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F592FE8"/>
    <w:multiLevelType w:val="hybridMultilevel"/>
    <w:tmpl w:val="389C2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3A6867"/>
    <w:multiLevelType w:val="hybridMultilevel"/>
    <w:tmpl w:val="E6EEE146"/>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1" w15:restartNumberingAfterBreak="0">
    <w:nsid w:val="3E725037"/>
    <w:multiLevelType w:val="multilevel"/>
    <w:tmpl w:val="517EBAC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4BFD7413"/>
    <w:multiLevelType w:val="hybridMultilevel"/>
    <w:tmpl w:val="81BC9A84"/>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B00F55"/>
    <w:multiLevelType w:val="multilevel"/>
    <w:tmpl w:val="5978E246"/>
    <w:lvl w:ilvl="0">
      <w:start w:val="1"/>
      <w:numFmt w:val="decimal"/>
      <w:lvlText w:val="%1"/>
      <w:lvlJc w:val="left"/>
      <w:pPr>
        <w:ind w:left="432" w:hanging="432"/>
      </w:pPr>
      <w:rPr>
        <w:rFonts w:hint="default"/>
      </w:rPr>
    </w:lvl>
    <w:lvl w:ilvl="1">
      <w:start w:val="1"/>
      <w:numFmt w:val="decimal"/>
      <w:lvlText w:val="%1.%2"/>
      <w:lvlJc w:val="left"/>
      <w:pPr>
        <w:ind w:left="846" w:hanging="576"/>
      </w:pPr>
      <w:rPr>
        <w:rFonts w:asciiTheme="minorHAnsi" w:hAnsiTheme="minorHAnsi" w:cstheme="minorHAnsi" w:hint="default"/>
        <w:b w:val="0"/>
        <w:color w:val="DAAE28" w:themeColor="accent1"/>
        <w:sz w:val="22"/>
        <w:szCs w:val="24"/>
      </w:rPr>
    </w:lvl>
    <w:lvl w:ilvl="2">
      <w:start w:val="1"/>
      <w:numFmt w:val="decimal"/>
      <w:lvlText w:val="%1.%2.%3"/>
      <w:lvlJc w:val="left"/>
      <w:pPr>
        <w:ind w:left="720" w:hanging="720"/>
      </w:pPr>
      <w:rPr>
        <w:rFonts w:hint="default"/>
        <w:b/>
        <w:color w:val="DAAE28" w:themeColor="accent1"/>
        <w:sz w:val="20"/>
        <w:szCs w:val="20"/>
      </w:rPr>
    </w:lvl>
    <w:lvl w:ilvl="3">
      <w:start w:val="1"/>
      <w:numFmt w:val="decimal"/>
      <w:lvlText w:val="%1.%2.%3.%4"/>
      <w:lvlJc w:val="left"/>
      <w:pPr>
        <w:ind w:left="864" w:hanging="864"/>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53332300"/>
    <w:multiLevelType w:val="hybridMultilevel"/>
    <w:tmpl w:val="FD761D26"/>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AB17B2B"/>
    <w:multiLevelType w:val="hybridMultilevel"/>
    <w:tmpl w:val="F5C64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E54B4A"/>
    <w:multiLevelType w:val="multilevel"/>
    <w:tmpl w:val="B97412DA"/>
    <w:styleLink w:val="Style1"/>
    <w:lvl w:ilvl="0">
      <w:start w:val="1"/>
      <w:numFmt w:val="decimal"/>
      <w:lvlText w:val="%1"/>
      <w:lvlJc w:val="left"/>
      <w:pPr>
        <w:ind w:left="720" w:hanging="720"/>
      </w:pPr>
      <w:rPr>
        <w:rFonts w:hint="default"/>
        <w:color w:val="2B3A57"/>
      </w:rPr>
    </w:lvl>
    <w:lvl w:ilvl="1">
      <w:start w:val="1"/>
      <w:numFmt w:val="decimal"/>
      <w:lvlText w:val="%1.%2"/>
      <w:lvlJc w:val="left"/>
      <w:pPr>
        <w:ind w:left="6120" w:hanging="720"/>
      </w:pPr>
      <w:rPr>
        <w:rFonts w:ascii="Avenir LT Com 35 Light" w:hAnsi="Avenir LT Com 35 Light" w:cstheme="minorHAnsi" w:hint="default"/>
        <w:b w:val="0"/>
        <w:bCs w:val="0"/>
        <w:i w:val="0"/>
        <w:iCs w:val="0"/>
        <w:caps w:val="0"/>
        <w:smallCaps w:val="0"/>
        <w:strike w:val="0"/>
        <w:dstrike w:val="0"/>
        <w:outline w:val="0"/>
        <w:shadow w:val="0"/>
        <w:emboss w:val="0"/>
        <w:imprint w:val="0"/>
        <w:vanish w:val="0"/>
        <w:webHidden w:val="0"/>
        <w:color w:val="057DA7"/>
        <w:spacing w:val="0"/>
        <w:kern w:val="0"/>
        <w:position w:val="0"/>
        <w:sz w:val="26"/>
        <w:szCs w:val="26"/>
        <w:u w:val="none"/>
        <w:effect w:val="none"/>
        <w:vertAlign w:val="baseline"/>
        <w:em w:val="none"/>
        <w:specVanish w:val="0"/>
        <w14:ligatures w14:val="none"/>
        <w14:numForm w14:val="default"/>
        <w14:numSpacing w14:val="default"/>
        <w14:stylisticSets/>
        <w14:cntxtAlts w14:val="0"/>
      </w:rPr>
    </w:lvl>
    <w:lvl w:ilvl="2">
      <w:start w:val="1"/>
      <w:numFmt w:val="decimal"/>
      <w:lvlText w:val="%1.%2.%3"/>
      <w:lvlJc w:val="left"/>
      <w:pPr>
        <w:ind w:left="1080" w:hanging="720"/>
      </w:pPr>
      <w:rPr>
        <w:rFonts w:ascii="Century Gothic" w:hAnsi="Century Gothic" w:hint="default"/>
        <w:b w:val="0"/>
        <w:bCs w:val="0"/>
        <w:i w:val="0"/>
        <w:iCs w:val="0"/>
        <w:caps w:val="0"/>
        <w:smallCaps w:val="0"/>
        <w:strike w:val="0"/>
        <w:dstrike w:val="0"/>
        <w:outline w:val="0"/>
        <w:shadow w:val="0"/>
        <w:emboss w:val="0"/>
        <w:imprint w:val="0"/>
        <w:noProof w:val="0"/>
        <w:vanish w:val="0"/>
        <w:color w:val="0685B2"/>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3780" w:hanging="720"/>
      </w:pPr>
      <w:rPr>
        <w:rFonts w:hint="default"/>
        <w:b/>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3780" w:hanging="720"/>
      </w:pPr>
      <w:rPr>
        <w:rFonts w:hint="default"/>
        <w:color w:val="DAAE28" w:themeColor="accent1"/>
      </w:rPr>
    </w:lvl>
    <w:lvl w:ilvl="5">
      <w:start w:val="1"/>
      <w:numFmt w:val="decimal"/>
      <w:lvlText w:val="%1.%2.%3.%4.%5.%6"/>
      <w:lvlJc w:val="left"/>
      <w:pPr>
        <w:ind w:left="-3780" w:hanging="720"/>
      </w:pPr>
      <w:rPr>
        <w:rFonts w:hint="default"/>
        <w:color w:val="DAAE28" w:themeColor="accent1"/>
      </w:rPr>
    </w:lvl>
    <w:lvl w:ilvl="6">
      <w:start w:val="1"/>
      <w:numFmt w:val="decimal"/>
      <w:lvlText w:val="%1.%2.%3.%4.%5.%6.%7"/>
      <w:lvlJc w:val="left"/>
      <w:pPr>
        <w:ind w:left="-3780" w:hanging="720"/>
      </w:pPr>
      <w:rPr>
        <w:rFonts w:hint="default"/>
        <w:color w:val="DAAE28" w:themeColor="accent1"/>
      </w:rPr>
    </w:lvl>
    <w:lvl w:ilvl="7">
      <w:start w:val="1"/>
      <w:numFmt w:val="decimal"/>
      <w:lvlText w:val="%1.%2.%3.%4.%5.%6.%7.%8"/>
      <w:lvlJc w:val="left"/>
      <w:pPr>
        <w:ind w:left="-3780" w:hanging="720"/>
      </w:pPr>
      <w:rPr>
        <w:rFonts w:hint="default"/>
        <w:color w:val="DAAE28" w:themeColor="accent1"/>
      </w:rPr>
    </w:lvl>
    <w:lvl w:ilvl="8">
      <w:start w:val="1"/>
      <w:numFmt w:val="decimal"/>
      <w:lvlText w:val="%1.%2.%3.%4.%5.%6.%7.%8.%9"/>
      <w:lvlJc w:val="left"/>
      <w:pPr>
        <w:ind w:left="-3780" w:hanging="720"/>
      </w:pPr>
      <w:rPr>
        <w:rFonts w:hint="default"/>
        <w:color w:val="DAAE28" w:themeColor="accent1"/>
      </w:rPr>
    </w:lvl>
  </w:abstractNum>
  <w:abstractNum w:abstractNumId="17" w15:restartNumberingAfterBreak="0">
    <w:nsid w:val="5DBE07A2"/>
    <w:multiLevelType w:val="hybridMultilevel"/>
    <w:tmpl w:val="0B46BE80"/>
    <w:lvl w:ilvl="0" w:tplc="04090001">
      <w:start w:val="1"/>
      <w:numFmt w:val="bullet"/>
      <w:pStyle w:val="Heading31"/>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pStyle w:val="Heading31"/>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5A4010F"/>
    <w:multiLevelType w:val="hybridMultilevel"/>
    <w:tmpl w:val="90F8EC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AD000B5"/>
    <w:multiLevelType w:val="hybridMultilevel"/>
    <w:tmpl w:val="775EDF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FCE0D03"/>
    <w:multiLevelType w:val="multilevel"/>
    <w:tmpl w:val="5BAC35EE"/>
    <w:lvl w:ilvl="0">
      <w:start w:val="1"/>
      <w:numFmt w:val="decimal"/>
      <w:pStyle w:val="Heading1"/>
      <w:lvlText w:val="%1"/>
      <w:lvlJc w:val="left"/>
      <w:pPr>
        <w:ind w:left="720" w:hanging="720"/>
      </w:pPr>
      <w:rPr>
        <w:rFonts w:hint="default"/>
        <w:color w:val="2B3A57"/>
      </w:rPr>
    </w:lvl>
    <w:lvl w:ilvl="1">
      <w:start w:val="1"/>
      <w:numFmt w:val="decimal"/>
      <w:pStyle w:val="Heading2"/>
      <w:lvlText w:val="%1.%2"/>
      <w:lvlJc w:val="left"/>
      <w:pPr>
        <w:ind w:left="720" w:hanging="720"/>
      </w:pPr>
      <w:rPr>
        <w:rFonts w:ascii="Avenir LT Com 35 Light" w:hAnsi="Avenir LT Com 35 Light" w:cstheme="minorHAnsi" w:hint="default"/>
        <w:b w:val="0"/>
        <w:bCs w:val="0"/>
        <w:i w:val="0"/>
        <w:iCs w:val="0"/>
        <w:caps w:val="0"/>
        <w:smallCaps w:val="0"/>
        <w:strike w:val="0"/>
        <w:dstrike w:val="0"/>
        <w:outline w:val="0"/>
        <w:shadow w:val="0"/>
        <w:emboss w:val="0"/>
        <w:imprint w:val="0"/>
        <w:vanish w:val="0"/>
        <w:webHidden w:val="0"/>
        <w:color w:val="057DA7"/>
        <w:spacing w:val="0"/>
        <w:kern w:val="0"/>
        <w:position w:val="0"/>
        <w:sz w:val="26"/>
        <w:szCs w:val="26"/>
        <w:u w:val="none"/>
        <w:effect w:val="none"/>
        <w:vertAlign w:val="baseline"/>
        <w:em w:val="none"/>
        <w:specVanish w:val="0"/>
        <w14:ligatures w14:val="none"/>
        <w14:numForm w14:val="default"/>
        <w14:numSpacing w14:val="default"/>
        <w14:stylisticSets/>
        <w14:cntxtAlts w14:val="0"/>
      </w:rPr>
    </w:lvl>
    <w:lvl w:ilvl="2">
      <w:start w:val="1"/>
      <w:numFmt w:val="decimal"/>
      <w:pStyle w:val="Heading3"/>
      <w:lvlText w:val="%1.%2.%3"/>
      <w:lvlJc w:val="left"/>
      <w:pPr>
        <w:ind w:left="720" w:hanging="720"/>
      </w:pPr>
      <w:rPr>
        <w:rFonts w:ascii="Century Gothic" w:hAnsi="Century Gothic" w:hint="default"/>
        <w:b w:val="0"/>
        <w:bCs w:val="0"/>
        <w:i w:val="0"/>
        <w:iCs w:val="0"/>
        <w:caps w:val="0"/>
        <w:smallCaps w:val="0"/>
        <w:strike w:val="0"/>
        <w:dstrike w:val="0"/>
        <w:outline w:val="0"/>
        <w:shadow w:val="0"/>
        <w:emboss w:val="0"/>
        <w:imprint w:val="0"/>
        <w:noProof w:val="0"/>
        <w:vanish w:val="0"/>
        <w:color w:val="0685B2"/>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720" w:hanging="720"/>
      </w:pPr>
      <w:rPr>
        <w:rFonts w:hint="default"/>
        <w:b/>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3780" w:hanging="720"/>
      </w:pPr>
      <w:rPr>
        <w:rFonts w:hint="default"/>
        <w:color w:val="DAAE28" w:themeColor="accent1"/>
      </w:rPr>
    </w:lvl>
    <w:lvl w:ilvl="5">
      <w:start w:val="1"/>
      <w:numFmt w:val="decimal"/>
      <w:lvlText w:val="%1.%2.%3.%4.%5.%6"/>
      <w:lvlJc w:val="left"/>
      <w:pPr>
        <w:ind w:left="-3780" w:hanging="720"/>
      </w:pPr>
      <w:rPr>
        <w:rFonts w:hint="default"/>
        <w:color w:val="DAAE28" w:themeColor="accent1"/>
      </w:rPr>
    </w:lvl>
    <w:lvl w:ilvl="6">
      <w:start w:val="1"/>
      <w:numFmt w:val="decimal"/>
      <w:lvlText w:val="%1.%2.%3.%4.%5.%6.%7"/>
      <w:lvlJc w:val="left"/>
      <w:pPr>
        <w:ind w:left="-3780" w:hanging="720"/>
      </w:pPr>
      <w:rPr>
        <w:rFonts w:hint="default"/>
        <w:color w:val="DAAE28" w:themeColor="accent1"/>
      </w:rPr>
    </w:lvl>
    <w:lvl w:ilvl="7">
      <w:start w:val="1"/>
      <w:numFmt w:val="decimal"/>
      <w:lvlText w:val="%1.%2.%3.%4.%5.%6.%7.%8"/>
      <w:lvlJc w:val="left"/>
      <w:pPr>
        <w:ind w:left="-3780" w:hanging="720"/>
      </w:pPr>
      <w:rPr>
        <w:rFonts w:hint="default"/>
        <w:color w:val="DAAE28" w:themeColor="accent1"/>
      </w:rPr>
    </w:lvl>
    <w:lvl w:ilvl="8">
      <w:start w:val="1"/>
      <w:numFmt w:val="decimal"/>
      <w:lvlText w:val="%1.%2.%3.%4.%5.%6.%7.%8.%9"/>
      <w:lvlJc w:val="left"/>
      <w:pPr>
        <w:ind w:left="-3780" w:hanging="720"/>
      </w:pPr>
      <w:rPr>
        <w:rFonts w:hint="default"/>
        <w:color w:val="DAAE28" w:themeColor="accent1"/>
      </w:rPr>
    </w:lvl>
  </w:abstractNum>
  <w:abstractNum w:abstractNumId="21" w15:restartNumberingAfterBreak="0">
    <w:nsid w:val="74815B46"/>
    <w:multiLevelType w:val="hybridMultilevel"/>
    <w:tmpl w:val="A06A9C3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A4D3AAA"/>
    <w:multiLevelType w:val="hybridMultilevel"/>
    <w:tmpl w:val="1F94D750"/>
    <w:lvl w:ilvl="0" w:tplc="9DBEE77E">
      <w:start w:val="1"/>
      <w:numFmt w:val="decimal"/>
      <w:pStyle w:val="Heading3b"/>
      <w:lvlText w:val="%1.1"/>
      <w:lvlJc w:val="left"/>
      <w:pPr>
        <w:ind w:left="360"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7E27006C"/>
    <w:multiLevelType w:val="hybridMultilevel"/>
    <w:tmpl w:val="4E64A5C8"/>
    <w:lvl w:ilvl="0" w:tplc="51488DB8">
      <w:start w:val="1"/>
      <w:numFmt w:val="decimal"/>
      <w:lvlText w:val="%1."/>
      <w:lvlJc w:val="left"/>
      <w:pPr>
        <w:ind w:left="720" w:hanging="360"/>
      </w:pPr>
      <w:rPr>
        <w:rFonts w:eastAsia="MS Mincho" w:cs="Times New Roman" w:hint="default"/>
        <w:color w:val="4F5150" w:themeColor="text2"/>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7"/>
  </w:num>
  <w:num w:numId="3">
    <w:abstractNumId w:val="4"/>
  </w:num>
  <w:num w:numId="4">
    <w:abstractNumId w:val="14"/>
  </w:num>
  <w:num w:numId="5">
    <w:abstractNumId w:val="21"/>
  </w:num>
  <w:num w:numId="6">
    <w:abstractNumId w:val="10"/>
  </w:num>
  <w:num w:numId="7">
    <w:abstractNumId w:val="9"/>
  </w:num>
  <w:num w:numId="8">
    <w:abstractNumId w:val="15"/>
  </w:num>
  <w:num w:numId="9">
    <w:abstractNumId w:val="0"/>
  </w:num>
  <w:num w:numId="10">
    <w:abstractNumId w:val="23"/>
  </w:num>
  <w:num w:numId="11">
    <w:abstractNumId w:val="13"/>
  </w:num>
  <w:num w:numId="12">
    <w:abstractNumId w:val="7"/>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20"/>
  </w:num>
  <w:num w:numId="21">
    <w:abstractNumId w:val="20"/>
  </w:num>
  <w:num w:numId="22">
    <w:abstractNumId w:val="22"/>
  </w:num>
  <w:num w:numId="23">
    <w:abstractNumId w:val="20"/>
  </w:num>
  <w:num w:numId="24">
    <w:abstractNumId w:val="20"/>
  </w:num>
  <w:num w:numId="25">
    <w:abstractNumId w:val="20"/>
  </w:num>
  <w:num w:numId="26">
    <w:abstractNumId w:val="5"/>
  </w:num>
  <w:num w:numId="27">
    <w:abstractNumId w:val="22"/>
  </w:num>
  <w:num w:numId="28">
    <w:abstractNumId w:val="20"/>
  </w:num>
  <w:num w:numId="29">
    <w:abstractNumId w:val="20"/>
  </w:num>
  <w:num w:numId="30">
    <w:abstractNumId w:val="20"/>
  </w:num>
  <w:num w:numId="31">
    <w:abstractNumId w:val="5"/>
  </w:num>
  <w:num w:numId="32">
    <w:abstractNumId w:val="22"/>
  </w:num>
  <w:num w:numId="33">
    <w:abstractNumId w:val="20"/>
  </w:num>
  <w:num w:numId="34">
    <w:abstractNumId w:val="16"/>
  </w:num>
  <w:num w:numId="35">
    <w:abstractNumId w:val="6"/>
  </w:num>
  <w:num w:numId="36">
    <w:abstractNumId w:val="20"/>
  </w:num>
  <w:num w:numId="37">
    <w:abstractNumId w:val="20"/>
  </w:num>
  <w:num w:numId="38">
    <w:abstractNumId w:val="20"/>
  </w:num>
  <w:num w:numId="39">
    <w:abstractNumId w:val="19"/>
  </w:num>
  <w:num w:numId="40">
    <w:abstractNumId w:val="1"/>
  </w:num>
  <w:num w:numId="41">
    <w:abstractNumId w:val="8"/>
  </w:num>
  <w:num w:numId="42">
    <w:abstractNumId w:val="12"/>
  </w:num>
  <w:num w:numId="43">
    <w:abstractNumId w:val="20"/>
    <w:lvlOverride w:ilvl="0">
      <w:startOverride w:val="2"/>
    </w:lvlOverride>
    <w:lvlOverride w:ilvl="1">
      <w:startOverride w:val="1"/>
    </w:lvlOverride>
    <w:lvlOverride w:ilvl="2">
      <w:startOverride w:val="6"/>
    </w:lvlOverride>
  </w:num>
  <w:num w:numId="44">
    <w:abstractNumId w:val="20"/>
    <w:lvlOverride w:ilvl="0">
      <w:startOverride w:val="6"/>
    </w:lvlOverride>
    <w:lvlOverride w:ilvl="1">
      <w:startOverride w:val="1"/>
    </w:lvlOverride>
    <w:lvlOverride w:ilvl="2">
      <w:startOverride w:val="11"/>
    </w:lvlOverride>
  </w:num>
  <w:num w:numId="45">
    <w:abstractNumId w:val="18"/>
  </w:num>
  <w:num w:numId="46">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8A6"/>
    <w:rsid w:val="000012C3"/>
    <w:rsid w:val="000040EA"/>
    <w:rsid w:val="00005855"/>
    <w:rsid w:val="00013761"/>
    <w:rsid w:val="00013E78"/>
    <w:rsid w:val="000143C0"/>
    <w:rsid w:val="000156D9"/>
    <w:rsid w:val="00017FAA"/>
    <w:rsid w:val="00021D8F"/>
    <w:rsid w:val="0002251D"/>
    <w:rsid w:val="00024CFD"/>
    <w:rsid w:val="00025195"/>
    <w:rsid w:val="00030969"/>
    <w:rsid w:val="0003165C"/>
    <w:rsid w:val="0003211D"/>
    <w:rsid w:val="00032493"/>
    <w:rsid w:val="00033140"/>
    <w:rsid w:val="000334E6"/>
    <w:rsid w:val="000336C9"/>
    <w:rsid w:val="000401C2"/>
    <w:rsid w:val="000436BC"/>
    <w:rsid w:val="00044DE1"/>
    <w:rsid w:val="000555A1"/>
    <w:rsid w:val="00055C3F"/>
    <w:rsid w:val="00056F0D"/>
    <w:rsid w:val="00060774"/>
    <w:rsid w:val="00063FCC"/>
    <w:rsid w:val="00074A07"/>
    <w:rsid w:val="00074DAB"/>
    <w:rsid w:val="00075080"/>
    <w:rsid w:val="00076C34"/>
    <w:rsid w:val="0007771F"/>
    <w:rsid w:val="00082807"/>
    <w:rsid w:val="000846E7"/>
    <w:rsid w:val="00084DC5"/>
    <w:rsid w:val="000853B2"/>
    <w:rsid w:val="00085432"/>
    <w:rsid w:val="0008641C"/>
    <w:rsid w:val="00090981"/>
    <w:rsid w:val="00094FDE"/>
    <w:rsid w:val="00097080"/>
    <w:rsid w:val="000A08AB"/>
    <w:rsid w:val="000A0FBA"/>
    <w:rsid w:val="000A4955"/>
    <w:rsid w:val="000A5ECA"/>
    <w:rsid w:val="000A7858"/>
    <w:rsid w:val="000A7ECC"/>
    <w:rsid w:val="000B0203"/>
    <w:rsid w:val="000B14F2"/>
    <w:rsid w:val="000B1797"/>
    <w:rsid w:val="000B259B"/>
    <w:rsid w:val="000B3947"/>
    <w:rsid w:val="000B5762"/>
    <w:rsid w:val="000C3B3F"/>
    <w:rsid w:val="000C3B79"/>
    <w:rsid w:val="000C4987"/>
    <w:rsid w:val="000C6835"/>
    <w:rsid w:val="000D0105"/>
    <w:rsid w:val="000D40BB"/>
    <w:rsid w:val="000D5587"/>
    <w:rsid w:val="000D5729"/>
    <w:rsid w:val="000D6B8C"/>
    <w:rsid w:val="000E475C"/>
    <w:rsid w:val="000F0B58"/>
    <w:rsid w:val="000F0F23"/>
    <w:rsid w:val="000F4070"/>
    <w:rsid w:val="000F513D"/>
    <w:rsid w:val="000F764F"/>
    <w:rsid w:val="000F7A9A"/>
    <w:rsid w:val="00102AAD"/>
    <w:rsid w:val="00105715"/>
    <w:rsid w:val="001061E1"/>
    <w:rsid w:val="001114A7"/>
    <w:rsid w:val="0011190A"/>
    <w:rsid w:val="001128A6"/>
    <w:rsid w:val="001139B1"/>
    <w:rsid w:val="00114FF3"/>
    <w:rsid w:val="00116DAD"/>
    <w:rsid w:val="0011709B"/>
    <w:rsid w:val="00120784"/>
    <w:rsid w:val="001212C6"/>
    <w:rsid w:val="0012703B"/>
    <w:rsid w:val="0013098E"/>
    <w:rsid w:val="001336CE"/>
    <w:rsid w:val="00140098"/>
    <w:rsid w:val="001415A2"/>
    <w:rsid w:val="00146584"/>
    <w:rsid w:val="001518F8"/>
    <w:rsid w:val="00153513"/>
    <w:rsid w:val="00156178"/>
    <w:rsid w:val="001573EC"/>
    <w:rsid w:val="0016118D"/>
    <w:rsid w:val="0016195F"/>
    <w:rsid w:val="00172111"/>
    <w:rsid w:val="00175614"/>
    <w:rsid w:val="001760BA"/>
    <w:rsid w:val="00176C9C"/>
    <w:rsid w:val="001816F0"/>
    <w:rsid w:val="00184527"/>
    <w:rsid w:val="001925B4"/>
    <w:rsid w:val="00193D61"/>
    <w:rsid w:val="00196B03"/>
    <w:rsid w:val="00196CBC"/>
    <w:rsid w:val="001A46E7"/>
    <w:rsid w:val="001A4703"/>
    <w:rsid w:val="001A4D38"/>
    <w:rsid w:val="001A583F"/>
    <w:rsid w:val="001A5F83"/>
    <w:rsid w:val="001A7CE7"/>
    <w:rsid w:val="001A7D14"/>
    <w:rsid w:val="001B403A"/>
    <w:rsid w:val="001B4ADE"/>
    <w:rsid w:val="001C0D6B"/>
    <w:rsid w:val="001C14B9"/>
    <w:rsid w:val="001D5A75"/>
    <w:rsid w:val="001E0C76"/>
    <w:rsid w:val="001E7631"/>
    <w:rsid w:val="001F62DB"/>
    <w:rsid w:val="001F7868"/>
    <w:rsid w:val="001F7AA3"/>
    <w:rsid w:val="002078A1"/>
    <w:rsid w:val="0021028F"/>
    <w:rsid w:val="0021043B"/>
    <w:rsid w:val="00214EE7"/>
    <w:rsid w:val="00215854"/>
    <w:rsid w:val="00215B6D"/>
    <w:rsid w:val="00216F3E"/>
    <w:rsid w:val="002341A0"/>
    <w:rsid w:val="00240CB9"/>
    <w:rsid w:val="002511CA"/>
    <w:rsid w:val="002534A8"/>
    <w:rsid w:val="00264BAE"/>
    <w:rsid w:val="00270D08"/>
    <w:rsid w:val="00271606"/>
    <w:rsid w:val="00274CCA"/>
    <w:rsid w:val="00276B9F"/>
    <w:rsid w:val="00281D9D"/>
    <w:rsid w:val="00282E38"/>
    <w:rsid w:val="00283592"/>
    <w:rsid w:val="0028419E"/>
    <w:rsid w:val="00285C5B"/>
    <w:rsid w:val="00286956"/>
    <w:rsid w:val="0029097B"/>
    <w:rsid w:val="00291F3C"/>
    <w:rsid w:val="00296ADC"/>
    <w:rsid w:val="00297376"/>
    <w:rsid w:val="00297595"/>
    <w:rsid w:val="00297CA4"/>
    <w:rsid w:val="002A03B8"/>
    <w:rsid w:val="002A21FE"/>
    <w:rsid w:val="002A3A28"/>
    <w:rsid w:val="002A6DDF"/>
    <w:rsid w:val="002A7473"/>
    <w:rsid w:val="002B1642"/>
    <w:rsid w:val="002B6331"/>
    <w:rsid w:val="002C14E8"/>
    <w:rsid w:val="002C1611"/>
    <w:rsid w:val="002C18C4"/>
    <w:rsid w:val="002C26A0"/>
    <w:rsid w:val="002C32C0"/>
    <w:rsid w:val="002C51C0"/>
    <w:rsid w:val="002C70AD"/>
    <w:rsid w:val="002C7911"/>
    <w:rsid w:val="002D2075"/>
    <w:rsid w:val="002D349D"/>
    <w:rsid w:val="002E70EB"/>
    <w:rsid w:val="002F0AE2"/>
    <w:rsid w:val="002F36FC"/>
    <w:rsid w:val="002F43D1"/>
    <w:rsid w:val="002F46FA"/>
    <w:rsid w:val="002F5474"/>
    <w:rsid w:val="002F63B9"/>
    <w:rsid w:val="002F7ABB"/>
    <w:rsid w:val="002F7B5F"/>
    <w:rsid w:val="00300B79"/>
    <w:rsid w:val="00303B96"/>
    <w:rsid w:val="00305699"/>
    <w:rsid w:val="00305C7B"/>
    <w:rsid w:val="00305C93"/>
    <w:rsid w:val="00306428"/>
    <w:rsid w:val="00310455"/>
    <w:rsid w:val="00310BE8"/>
    <w:rsid w:val="00310D62"/>
    <w:rsid w:val="00313EA3"/>
    <w:rsid w:val="00314616"/>
    <w:rsid w:val="0031501A"/>
    <w:rsid w:val="0031771B"/>
    <w:rsid w:val="0032163D"/>
    <w:rsid w:val="00324DDF"/>
    <w:rsid w:val="0032727A"/>
    <w:rsid w:val="0033045E"/>
    <w:rsid w:val="0033394A"/>
    <w:rsid w:val="0033547A"/>
    <w:rsid w:val="00340A18"/>
    <w:rsid w:val="00342808"/>
    <w:rsid w:val="0034531B"/>
    <w:rsid w:val="00347778"/>
    <w:rsid w:val="00351CA3"/>
    <w:rsid w:val="00351EF7"/>
    <w:rsid w:val="0035284D"/>
    <w:rsid w:val="00352945"/>
    <w:rsid w:val="00352F23"/>
    <w:rsid w:val="00362399"/>
    <w:rsid w:val="00362F5E"/>
    <w:rsid w:val="00366351"/>
    <w:rsid w:val="00367D26"/>
    <w:rsid w:val="00371142"/>
    <w:rsid w:val="00374F4A"/>
    <w:rsid w:val="00375E12"/>
    <w:rsid w:val="00377159"/>
    <w:rsid w:val="003778FB"/>
    <w:rsid w:val="00381ABF"/>
    <w:rsid w:val="003838EA"/>
    <w:rsid w:val="0038449E"/>
    <w:rsid w:val="003865E2"/>
    <w:rsid w:val="00390DF3"/>
    <w:rsid w:val="00393466"/>
    <w:rsid w:val="0039610F"/>
    <w:rsid w:val="003A21B1"/>
    <w:rsid w:val="003A43D8"/>
    <w:rsid w:val="003B0484"/>
    <w:rsid w:val="003B5E87"/>
    <w:rsid w:val="003B7E7D"/>
    <w:rsid w:val="003C19C7"/>
    <w:rsid w:val="003C7DBB"/>
    <w:rsid w:val="003D792B"/>
    <w:rsid w:val="003D7FF3"/>
    <w:rsid w:val="003E0747"/>
    <w:rsid w:val="003E1757"/>
    <w:rsid w:val="003E6F1E"/>
    <w:rsid w:val="003F2323"/>
    <w:rsid w:val="003F3ED0"/>
    <w:rsid w:val="003F4802"/>
    <w:rsid w:val="003F6F55"/>
    <w:rsid w:val="00401447"/>
    <w:rsid w:val="00407887"/>
    <w:rsid w:val="00410308"/>
    <w:rsid w:val="00415F29"/>
    <w:rsid w:val="00417150"/>
    <w:rsid w:val="00417BF0"/>
    <w:rsid w:val="00420F02"/>
    <w:rsid w:val="0042296D"/>
    <w:rsid w:val="00426E05"/>
    <w:rsid w:val="004273ED"/>
    <w:rsid w:val="00432476"/>
    <w:rsid w:val="00436EE5"/>
    <w:rsid w:val="004416DF"/>
    <w:rsid w:val="004436ED"/>
    <w:rsid w:val="00443E2D"/>
    <w:rsid w:val="00444FAB"/>
    <w:rsid w:val="0045008D"/>
    <w:rsid w:val="00452A88"/>
    <w:rsid w:val="00453512"/>
    <w:rsid w:val="00453B95"/>
    <w:rsid w:val="00455D09"/>
    <w:rsid w:val="00464E3A"/>
    <w:rsid w:val="00467934"/>
    <w:rsid w:val="00470551"/>
    <w:rsid w:val="0047150F"/>
    <w:rsid w:val="0047257D"/>
    <w:rsid w:val="004726A6"/>
    <w:rsid w:val="004736C5"/>
    <w:rsid w:val="0047625C"/>
    <w:rsid w:val="004853A6"/>
    <w:rsid w:val="00493BCF"/>
    <w:rsid w:val="00496FF5"/>
    <w:rsid w:val="004A1494"/>
    <w:rsid w:val="004A1BFB"/>
    <w:rsid w:val="004A29F3"/>
    <w:rsid w:val="004A50D0"/>
    <w:rsid w:val="004A5588"/>
    <w:rsid w:val="004A6D75"/>
    <w:rsid w:val="004B2ECE"/>
    <w:rsid w:val="004B3D6C"/>
    <w:rsid w:val="004B528E"/>
    <w:rsid w:val="004B57BD"/>
    <w:rsid w:val="004C0A09"/>
    <w:rsid w:val="004C3593"/>
    <w:rsid w:val="004C4B95"/>
    <w:rsid w:val="004E0E4F"/>
    <w:rsid w:val="004E35E6"/>
    <w:rsid w:val="004E69C0"/>
    <w:rsid w:val="004F5031"/>
    <w:rsid w:val="004F5B5E"/>
    <w:rsid w:val="004F5E11"/>
    <w:rsid w:val="005005EE"/>
    <w:rsid w:val="0050155A"/>
    <w:rsid w:val="005122CF"/>
    <w:rsid w:val="00522627"/>
    <w:rsid w:val="00522D0E"/>
    <w:rsid w:val="0053161F"/>
    <w:rsid w:val="00533689"/>
    <w:rsid w:val="00533752"/>
    <w:rsid w:val="00533BFD"/>
    <w:rsid w:val="00535990"/>
    <w:rsid w:val="005410E0"/>
    <w:rsid w:val="005445AE"/>
    <w:rsid w:val="00545D9C"/>
    <w:rsid w:val="00557FE9"/>
    <w:rsid w:val="00563A66"/>
    <w:rsid w:val="00563E91"/>
    <w:rsid w:val="00564A69"/>
    <w:rsid w:val="00571EB8"/>
    <w:rsid w:val="00572E41"/>
    <w:rsid w:val="00576A41"/>
    <w:rsid w:val="00577133"/>
    <w:rsid w:val="005776B8"/>
    <w:rsid w:val="00583907"/>
    <w:rsid w:val="00583C98"/>
    <w:rsid w:val="00585FDF"/>
    <w:rsid w:val="00591490"/>
    <w:rsid w:val="00595934"/>
    <w:rsid w:val="005A1230"/>
    <w:rsid w:val="005A499E"/>
    <w:rsid w:val="005A4A6C"/>
    <w:rsid w:val="005B2999"/>
    <w:rsid w:val="005B2C43"/>
    <w:rsid w:val="005B2CDE"/>
    <w:rsid w:val="005B4583"/>
    <w:rsid w:val="005B48B7"/>
    <w:rsid w:val="005B6343"/>
    <w:rsid w:val="005C03B1"/>
    <w:rsid w:val="005C18D6"/>
    <w:rsid w:val="005C2CE9"/>
    <w:rsid w:val="005C5A23"/>
    <w:rsid w:val="005C691C"/>
    <w:rsid w:val="005C7296"/>
    <w:rsid w:val="005D38E1"/>
    <w:rsid w:val="005D60C6"/>
    <w:rsid w:val="005E3815"/>
    <w:rsid w:val="005E7392"/>
    <w:rsid w:val="005E7C70"/>
    <w:rsid w:val="005F0F43"/>
    <w:rsid w:val="005F3498"/>
    <w:rsid w:val="005F692F"/>
    <w:rsid w:val="0060123B"/>
    <w:rsid w:val="006030A0"/>
    <w:rsid w:val="006056A2"/>
    <w:rsid w:val="00605983"/>
    <w:rsid w:val="006113D0"/>
    <w:rsid w:val="00614224"/>
    <w:rsid w:val="0061526E"/>
    <w:rsid w:val="00617DC9"/>
    <w:rsid w:val="00627F58"/>
    <w:rsid w:val="00630612"/>
    <w:rsid w:val="006312E2"/>
    <w:rsid w:val="00632746"/>
    <w:rsid w:val="00634F9C"/>
    <w:rsid w:val="006356E0"/>
    <w:rsid w:val="00640B79"/>
    <w:rsid w:val="00643BF7"/>
    <w:rsid w:val="00644159"/>
    <w:rsid w:val="00647F2E"/>
    <w:rsid w:val="0065225A"/>
    <w:rsid w:val="00655050"/>
    <w:rsid w:val="006552B0"/>
    <w:rsid w:val="00656077"/>
    <w:rsid w:val="006570C8"/>
    <w:rsid w:val="006618D7"/>
    <w:rsid w:val="006647F9"/>
    <w:rsid w:val="006704A1"/>
    <w:rsid w:val="00675473"/>
    <w:rsid w:val="00675A88"/>
    <w:rsid w:val="00675EF9"/>
    <w:rsid w:val="00677B58"/>
    <w:rsid w:val="00680AFD"/>
    <w:rsid w:val="006847AE"/>
    <w:rsid w:val="00685C16"/>
    <w:rsid w:val="00687089"/>
    <w:rsid w:val="00687BBF"/>
    <w:rsid w:val="0069251B"/>
    <w:rsid w:val="00693F29"/>
    <w:rsid w:val="00695150"/>
    <w:rsid w:val="006A374F"/>
    <w:rsid w:val="006A3AED"/>
    <w:rsid w:val="006A4E1D"/>
    <w:rsid w:val="006A7B12"/>
    <w:rsid w:val="006B2EB4"/>
    <w:rsid w:val="006B34CA"/>
    <w:rsid w:val="006B414A"/>
    <w:rsid w:val="006B4AF4"/>
    <w:rsid w:val="006B6568"/>
    <w:rsid w:val="006B672C"/>
    <w:rsid w:val="006B6E96"/>
    <w:rsid w:val="006C2D06"/>
    <w:rsid w:val="006C4C47"/>
    <w:rsid w:val="006D70EC"/>
    <w:rsid w:val="006E1B69"/>
    <w:rsid w:val="006E2A55"/>
    <w:rsid w:val="006E2CAB"/>
    <w:rsid w:val="006E3233"/>
    <w:rsid w:val="006E37DA"/>
    <w:rsid w:val="006F01BB"/>
    <w:rsid w:val="006F4D14"/>
    <w:rsid w:val="00701003"/>
    <w:rsid w:val="0070283E"/>
    <w:rsid w:val="0070435C"/>
    <w:rsid w:val="00705D56"/>
    <w:rsid w:val="00710AFD"/>
    <w:rsid w:val="007130E3"/>
    <w:rsid w:val="00720075"/>
    <w:rsid w:val="007229E5"/>
    <w:rsid w:val="00726235"/>
    <w:rsid w:val="007311DA"/>
    <w:rsid w:val="007312A2"/>
    <w:rsid w:val="00731616"/>
    <w:rsid w:val="00732218"/>
    <w:rsid w:val="00733B6C"/>
    <w:rsid w:val="00734D77"/>
    <w:rsid w:val="00740B6C"/>
    <w:rsid w:val="007410D9"/>
    <w:rsid w:val="00742677"/>
    <w:rsid w:val="007455DC"/>
    <w:rsid w:val="00746929"/>
    <w:rsid w:val="0075025F"/>
    <w:rsid w:val="00752BA0"/>
    <w:rsid w:val="00752EBE"/>
    <w:rsid w:val="0075354B"/>
    <w:rsid w:val="00755BC5"/>
    <w:rsid w:val="00757BF6"/>
    <w:rsid w:val="00757C2A"/>
    <w:rsid w:val="0076189D"/>
    <w:rsid w:val="00761A82"/>
    <w:rsid w:val="00775382"/>
    <w:rsid w:val="00776930"/>
    <w:rsid w:val="007770E9"/>
    <w:rsid w:val="00780C91"/>
    <w:rsid w:val="0078229C"/>
    <w:rsid w:val="0078372D"/>
    <w:rsid w:val="00785881"/>
    <w:rsid w:val="00787636"/>
    <w:rsid w:val="0079210A"/>
    <w:rsid w:val="00792177"/>
    <w:rsid w:val="00793397"/>
    <w:rsid w:val="00793632"/>
    <w:rsid w:val="00793810"/>
    <w:rsid w:val="0079438F"/>
    <w:rsid w:val="00797E90"/>
    <w:rsid w:val="007A049E"/>
    <w:rsid w:val="007A2E8B"/>
    <w:rsid w:val="007A3415"/>
    <w:rsid w:val="007A3C5D"/>
    <w:rsid w:val="007A61BC"/>
    <w:rsid w:val="007A6B0D"/>
    <w:rsid w:val="007B0168"/>
    <w:rsid w:val="007B51E5"/>
    <w:rsid w:val="007B660B"/>
    <w:rsid w:val="007C1716"/>
    <w:rsid w:val="007C5502"/>
    <w:rsid w:val="007E0BCA"/>
    <w:rsid w:val="007E2349"/>
    <w:rsid w:val="007E631B"/>
    <w:rsid w:val="007E796A"/>
    <w:rsid w:val="007F0616"/>
    <w:rsid w:val="007F1AC2"/>
    <w:rsid w:val="00801AD6"/>
    <w:rsid w:val="008048C6"/>
    <w:rsid w:val="0080583B"/>
    <w:rsid w:val="00806AE3"/>
    <w:rsid w:val="00812576"/>
    <w:rsid w:val="00812B27"/>
    <w:rsid w:val="008131E9"/>
    <w:rsid w:val="008143E6"/>
    <w:rsid w:val="00816933"/>
    <w:rsid w:val="008231DB"/>
    <w:rsid w:val="00823519"/>
    <w:rsid w:val="00823AF5"/>
    <w:rsid w:val="00824568"/>
    <w:rsid w:val="008249E7"/>
    <w:rsid w:val="00830FBB"/>
    <w:rsid w:val="0083342C"/>
    <w:rsid w:val="00845276"/>
    <w:rsid w:val="008470E0"/>
    <w:rsid w:val="00851B8D"/>
    <w:rsid w:val="008533DA"/>
    <w:rsid w:val="008555B2"/>
    <w:rsid w:val="008556F8"/>
    <w:rsid w:val="008615DC"/>
    <w:rsid w:val="00861E70"/>
    <w:rsid w:val="00862B2B"/>
    <w:rsid w:val="00863224"/>
    <w:rsid w:val="008653FD"/>
    <w:rsid w:val="008655C8"/>
    <w:rsid w:val="00867FF2"/>
    <w:rsid w:val="00872E35"/>
    <w:rsid w:val="00875D21"/>
    <w:rsid w:val="0087717F"/>
    <w:rsid w:val="00881332"/>
    <w:rsid w:val="00882979"/>
    <w:rsid w:val="00883E33"/>
    <w:rsid w:val="0089275C"/>
    <w:rsid w:val="008A55BB"/>
    <w:rsid w:val="008A7584"/>
    <w:rsid w:val="008B4DA5"/>
    <w:rsid w:val="008B62AA"/>
    <w:rsid w:val="008B7F69"/>
    <w:rsid w:val="008C075D"/>
    <w:rsid w:val="008C2F71"/>
    <w:rsid w:val="008C3621"/>
    <w:rsid w:val="008C3D17"/>
    <w:rsid w:val="008C7D47"/>
    <w:rsid w:val="008D15C4"/>
    <w:rsid w:val="008D2489"/>
    <w:rsid w:val="008D3CFC"/>
    <w:rsid w:val="008D4605"/>
    <w:rsid w:val="008D6DC2"/>
    <w:rsid w:val="008D746A"/>
    <w:rsid w:val="008E4C7E"/>
    <w:rsid w:val="008E4E17"/>
    <w:rsid w:val="008F0969"/>
    <w:rsid w:val="008F165E"/>
    <w:rsid w:val="008F3F87"/>
    <w:rsid w:val="008F54FB"/>
    <w:rsid w:val="008F5ABA"/>
    <w:rsid w:val="008F5F56"/>
    <w:rsid w:val="008F7F49"/>
    <w:rsid w:val="00903E73"/>
    <w:rsid w:val="00905529"/>
    <w:rsid w:val="00905C90"/>
    <w:rsid w:val="00911047"/>
    <w:rsid w:val="0091520F"/>
    <w:rsid w:val="00915635"/>
    <w:rsid w:val="009219D8"/>
    <w:rsid w:val="00922BD2"/>
    <w:rsid w:val="00923540"/>
    <w:rsid w:val="00932F4F"/>
    <w:rsid w:val="00934367"/>
    <w:rsid w:val="009355B6"/>
    <w:rsid w:val="00936825"/>
    <w:rsid w:val="00936B8C"/>
    <w:rsid w:val="00952F24"/>
    <w:rsid w:val="00953556"/>
    <w:rsid w:val="0095362F"/>
    <w:rsid w:val="00954F38"/>
    <w:rsid w:val="009568BC"/>
    <w:rsid w:val="009575DF"/>
    <w:rsid w:val="00957952"/>
    <w:rsid w:val="00957CAC"/>
    <w:rsid w:val="009625C0"/>
    <w:rsid w:val="009651BA"/>
    <w:rsid w:val="00967768"/>
    <w:rsid w:val="00970B6A"/>
    <w:rsid w:val="00972281"/>
    <w:rsid w:val="00976EF3"/>
    <w:rsid w:val="00981024"/>
    <w:rsid w:val="00982AA6"/>
    <w:rsid w:val="00982BCC"/>
    <w:rsid w:val="00986A53"/>
    <w:rsid w:val="009924EB"/>
    <w:rsid w:val="009928DF"/>
    <w:rsid w:val="00993642"/>
    <w:rsid w:val="00997356"/>
    <w:rsid w:val="00997975"/>
    <w:rsid w:val="009A0A95"/>
    <w:rsid w:val="009A3528"/>
    <w:rsid w:val="009A4A2B"/>
    <w:rsid w:val="009A4C8C"/>
    <w:rsid w:val="009A4E45"/>
    <w:rsid w:val="009A6786"/>
    <w:rsid w:val="009B0EB2"/>
    <w:rsid w:val="009B20E4"/>
    <w:rsid w:val="009C0AD6"/>
    <w:rsid w:val="009C325D"/>
    <w:rsid w:val="009C6D7C"/>
    <w:rsid w:val="009D1CA3"/>
    <w:rsid w:val="009D3563"/>
    <w:rsid w:val="009D50F3"/>
    <w:rsid w:val="009D69D9"/>
    <w:rsid w:val="009E0D43"/>
    <w:rsid w:val="009E0F77"/>
    <w:rsid w:val="009E41FE"/>
    <w:rsid w:val="009E5D2A"/>
    <w:rsid w:val="009E5EBE"/>
    <w:rsid w:val="009E612E"/>
    <w:rsid w:val="009F2AA4"/>
    <w:rsid w:val="00A04909"/>
    <w:rsid w:val="00A05C07"/>
    <w:rsid w:val="00A07536"/>
    <w:rsid w:val="00A11344"/>
    <w:rsid w:val="00A11E80"/>
    <w:rsid w:val="00A12A4B"/>
    <w:rsid w:val="00A1371D"/>
    <w:rsid w:val="00A14D00"/>
    <w:rsid w:val="00A14E8A"/>
    <w:rsid w:val="00A226CA"/>
    <w:rsid w:val="00A31191"/>
    <w:rsid w:val="00A341FA"/>
    <w:rsid w:val="00A375E3"/>
    <w:rsid w:val="00A40B7F"/>
    <w:rsid w:val="00A50432"/>
    <w:rsid w:val="00A53DF4"/>
    <w:rsid w:val="00A64617"/>
    <w:rsid w:val="00A67634"/>
    <w:rsid w:val="00A677D1"/>
    <w:rsid w:val="00A7068D"/>
    <w:rsid w:val="00A74766"/>
    <w:rsid w:val="00A76838"/>
    <w:rsid w:val="00A812B2"/>
    <w:rsid w:val="00A814FE"/>
    <w:rsid w:val="00A86CAB"/>
    <w:rsid w:val="00A876FE"/>
    <w:rsid w:val="00A93D6D"/>
    <w:rsid w:val="00AB3E06"/>
    <w:rsid w:val="00AB41D9"/>
    <w:rsid w:val="00AC0EF6"/>
    <w:rsid w:val="00AC2860"/>
    <w:rsid w:val="00AC43B5"/>
    <w:rsid w:val="00AC767E"/>
    <w:rsid w:val="00AC7AB8"/>
    <w:rsid w:val="00AD2D5F"/>
    <w:rsid w:val="00AD43E4"/>
    <w:rsid w:val="00AD75CE"/>
    <w:rsid w:val="00AE379A"/>
    <w:rsid w:val="00AE432A"/>
    <w:rsid w:val="00AE6C78"/>
    <w:rsid w:val="00AE721F"/>
    <w:rsid w:val="00AF0034"/>
    <w:rsid w:val="00AF244D"/>
    <w:rsid w:val="00AF4519"/>
    <w:rsid w:val="00AF4730"/>
    <w:rsid w:val="00AF5BD2"/>
    <w:rsid w:val="00B001BB"/>
    <w:rsid w:val="00B00EC9"/>
    <w:rsid w:val="00B019E0"/>
    <w:rsid w:val="00B02B76"/>
    <w:rsid w:val="00B10269"/>
    <w:rsid w:val="00B14886"/>
    <w:rsid w:val="00B225E4"/>
    <w:rsid w:val="00B234FA"/>
    <w:rsid w:val="00B24B9C"/>
    <w:rsid w:val="00B25BDD"/>
    <w:rsid w:val="00B26543"/>
    <w:rsid w:val="00B32819"/>
    <w:rsid w:val="00B3286B"/>
    <w:rsid w:val="00B34131"/>
    <w:rsid w:val="00B3593B"/>
    <w:rsid w:val="00B35A16"/>
    <w:rsid w:val="00B360E5"/>
    <w:rsid w:val="00B43C3E"/>
    <w:rsid w:val="00B43E3E"/>
    <w:rsid w:val="00B43EC5"/>
    <w:rsid w:val="00B452CF"/>
    <w:rsid w:val="00B458E5"/>
    <w:rsid w:val="00B46869"/>
    <w:rsid w:val="00B52F9B"/>
    <w:rsid w:val="00B6168F"/>
    <w:rsid w:val="00B65792"/>
    <w:rsid w:val="00B67D11"/>
    <w:rsid w:val="00B75DC8"/>
    <w:rsid w:val="00B76103"/>
    <w:rsid w:val="00B80DA4"/>
    <w:rsid w:val="00B92AD4"/>
    <w:rsid w:val="00B938ED"/>
    <w:rsid w:val="00B93FCF"/>
    <w:rsid w:val="00B979DF"/>
    <w:rsid w:val="00BA0B2C"/>
    <w:rsid w:val="00BA1C74"/>
    <w:rsid w:val="00BA2431"/>
    <w:rsid w:val="00BA3B0B"/>
    <w:rsid w:val="00BA609E"/>
    <w:rsid w:val="00BB0BDD"/>
    <w:rsid w:val="00BC11EE"/>
    <w:rsid w:val="00BC449D"/>
    <w:rsid w:val="00BC465A"/>
    <w:rsid w:val="00BC4B1E"/>
    <w:rsid w:val="00BC6BD2"/>
    <w:rsid w:val="00BC72C3"/>
    <w:rsid w:val="00BD0017"/>
    <w:rsid w:val="00BD1E32"/>
    <w:rsid w:val="00BD4A53"/>
    <w:rsid w:val="00BD714E"/>
    <w:rsid w:val="00BD723B"/>
    <w:rsid w:val="00BD779C"/>
    <w:rsid w:val="00BE10F9"/>
    <w:rsid w:val="00BE4159"/>
    <w:rsid w:val="00BF3572"/>
    <w:rsid w:val="00BF3B33"/>
    <w:rsid w:val="00BF5D22"/>
    <w:rsid w:val="00BF6492"/>
    <w:rsid w:val="00C00212"/>
    <w:rsid w:val="00C00FC3"/>
    <w:rsid w:val="00C04C8B"/>
    <w:rsid w:val="00C11256"/>
    <w:rsid w:val="00C12F81"/>
    <w:rsid w:val="00C14C02"/>
    <w:rsid w:val="00C17B61"/>
    <w:rsid w:val="00C21CD2"/>
    <w:rsid w:val="00C25CD5"/>
    <w:rsid w:val="00C25E01"/>
    <w:rsid w:val="00C26921"/>
    <w:rsid w:val="00C36B49"/>
    <w:rsid w:val="00C37B9C"/>
    <w:rsid w:val="00C40654"/>
    <w:rsid w:val="00C418C5"/>
    <w:rsid w:val="00C42654"/>
    <w:rsid w:val="00C4295F"/>
    <w:rsid w:val="00C42B0F"/>
    <w:rsid w:val="00C45410"/>
    <w:rsid w:val="00C465B4"/>
    <w:rsid w:val="00C46B18"/>
    <w:rsid w:val="00C51A5E"/>
    <w:rsid w:val="00C60643"/>
    <w:rsid w:val="00C61C6A"/>
    <w:rsid w:val="00C62606"/>
    <w:rsid w:val="00C64AF2"/>
    <w:rsid w:val="00C75009"/>
    <w:rsid w:val="00C8022E"/>
    <w:rsid w:val="00C822B4"/>
    <w:rsid w:val="00C86ECE"/>
    <w:rsid w:val="00C87579"/>
    <w:rsid w:val="00C87AA4"/>
    <w:rsid w:val="00C90A10"/>
    <w:rsid w:val="00C95C97"/>
    <w:rsid w:val="00C97F41"/>
    <w:rsid w:val="00CA0D5D"/>
    <w:rsid w:val="00CA267C"/>
    <w:rsid w:val="00CA29A8"/>
    <w:rsid w:val="00CA301B"/>
    <w:rsid w:val="00CA3275"/>
    <w:rsid w:val="00CB0612"/>
    <w:rsid w:val="00CB4DE9"/>
    <w:rsid w:val="00CB715C"/>
    <w:rsid w:val="00CB7A6A"/>
    <w:rsid w:val="00CC2237"/>
    <w:rsid w:val="00CC33B5"/>
    <w:rsid w:val="00CC548D"/>
    <w:rsid w:val="00CC6CBB"/>
    <w:rsid w:val="00CD3949"/>
    <w:rsid w:val="00CE133B"/>
    <w:rsid w:val="00CE17A1"/>
    <w:rsid w:val="00CE7354"/>
    <w:rsid w:val="00CF219B"/>
    <w:rsid w:val="00CF2B8C"/>
    <w:rsid w:val="00CF32B6"/>
    <w:rsid w:val="00D010E4"/>
    <w:rsid w:val="00D06B65"/>
    <w:rsid w:val="00D109C1"/>
    <w:rsid w:val="00D12310"/>
    <w:rsid w:val="00D1430E"/>
    <w:rsid w:val="00D15ECD"/>
    <w:rsid w:val="00D16846"/>
    <w:rsid w:val="00D23893"/>
    <w:rsid w:val="00D25D0E"/>
    <w:rsid w:val="00D3098D"/>
    <w:rsid w:val="00D37BBC"/>
    <w:rsid w:val="00D406A6"/>
    <w:rsid w:val="00D426A9"/>
    <w:rsid w:val="00D436CB"/>
    <w:rsid w:val="00D447F3"/>
    <w:rsid w:val="00D44975"/>
    <w:rsid w:val="00D46F1D"/>
    <w:rsid w:val="00D47A1C"/>
    <w:rsid w:val="00D5442E"/>
    <w:rsid w:val="00D563CB"/>
    <w:rsid w:val="00D607A8"/>
    <w:rsid w:val="00D6234E"/>
    <w:rsid w:val="00D629EC"/>
    <w:rsid w:val="00D62A67"/>
    <w:rsid w:val="00D751FC"/>
    <w:rsid w:val="00D754EA"/>
    <w:rsid w:val="00D76491"/>
    <w:rsid w:val="00D76CAE"/>
    <w:rsid w:val="00D802AA"/>
    <w:rsid w:val="00D854B9"/>
    <w:rsid w:val="00D877BF"/>
    <w:rsid w:val="00D9451D"/>
    <w:rsid w:val="00DA0CFA"/>
    <w:rsid w:val="00DA411E"/>
    <w:rsid w:val="00DA5EAF"/>
    <w:rsid w:val="00DA68A9"/>
    <w:rsid w:val="00DA759D"/>
    <w:rsid w:val="00DB0C89"/>
    <w:rsid w:val="00DB1FB4"/>
    <w:rsid w:val="00DB240D"/>
    <w:rsid w:val="00DB4003"/>
    <w:rsid w:val="00DB4DA1"/>
    <w:rsid w:val="00DB6EE5"/>
    <w:rsid w:val="00DC3FC4"/>
    <w:rsid w:val="00DD203B"/>
    <w:rsid w:val="00DD4A09"/>
    <w:rsid w:val="00DD6612"/>
    <w:rsid w:val="00DD6971"/>
    <w:rsid w:val="00DE1395"/>
    <w:rsid w:val="00DE20CB"/>
    <w:rsid w:val="00DF3F27"/>
    <w:rsid w:val="00DF47BC"/>
    <w:rsid w:val="00DF6FEE"/>
    <w:rsid w:val="00E05B6A"/>
    <w:rsid w:val="00E12612"/>
    <w:rsid w:val="00E12FB0"/>
    <w:rsid w:val="00E16B46"/>
    <w:rsid w:val="00E23D86"/>
    <w:rsid w:val="00E25681"/>
    <w:rsid w:val="00E263E8"/>
    <w:rsid w:val="00E30FF0"/>
    <w:rsid w:val="00E37318"/>
    <w:rsid w:val="00E37BA2"/>
    <w:rsid w:val="00E46805"/>
    <w:rsid w:val="00E50188"/>
    <w:rsid w:val="00E504E2"/>
    <w:rsid w:val="00E54240"/>
    <w:rsid w:val="00E54EFB"/>
    <w:rsid w:val="00E56984"/>
    <w:rsid w:val="00E6057D"/>
    <w:rsid w:val="00E70E8C"/>
    <w:rsid w:val="00E715B7"/>
    <w:rsid w:val="00E74E00"/>
    <w:rsid w:val="00E76DDF"/>
    <w:rsid w:val="00E8041F"/>
    <w:rsid w:val="00E8325D"/>
    <w:rsid w:val="00E832E6"/>
    <w:rsid w:val="00E90F5B"/>
    <w:rsid w:val="00E926FE"/>
    <w:rsid w:val="00E95DCC"/>
    <w:rsid w:val="00E96FC0"/>
    <w:rsid w:val="00EA0894"/>
    <w:rsid w:val="00EA3296"/>
    <w:rsid w:val="00EA5197"/>
    <w:rsid w:val="00EA62F0"/>
    <w:rsid w:val="00EA6E3D"/>
    <w:rsid w:val="00EB1673"/>
    <w:rsid w:val="00EC0E78"/>
    <w:rsid w:val="00EC1E22"/>
    <w:rsid w:val="00EC3880"/>
    <w:rsid w:val="00EC5D29"/>
    <w:rsid w:val="00ED171A"/>
    <w:rsid w:val="00ED2EA9"/>
    <w:rsid w:val="00EE0A5C"/>
    <w:rsid w:val="00EE0E17"/>
    <w:rsid w:val="00EE0EA2"/>
    <w:rsid w:val="00EE2D59"/>
    <w:rsid w:val="00EE63E0"/>
    <w:rsid w:val="00EF0AE2"/>
    <w:rsid w:val="00EF114D"/>
    <w:rsid w:val="00EF1A9E"/>
    <w:rsid w:val="00F0056C"/>
    <w:rsid w:val="00F00DBF"/>
    <w:rsid w:val="00F04D3A"/>
    <w:rsid w:val="00F04FAB"/>
    <w:rsid w:val="00F070F4"/>
    <w:rsid w:val="00F14046"/>
    <w:rsid w:val="00F25351"/>
    <w:rsid w:val="00F25A34"/>
    <w:rsid w:val="00F25B1B"/>
    <w:rsid w:val="00F25BC6"/>
    <w:rsid w:val="00F31A21"/>
    <w:rsid w:val="00F37FBA"/>
    <w:rsid w:val="00F40505"/>
    <w:rsid w:val="00F409F0"/>
    <w:rsid w:val="00F41A87"/>
    <w:rsid w:val="00F42888"/>
    <w:rsid w:val="00F428C5"/>
    <w:rsid w:val="00F43031"/>
    <w:rsid w:val="00F453B8"/>
    <w:rsid w:val="00F521C5"/>
    <w:rsid w:val="00F528DF"/>
    <w:rsid w:val="00F534F6"/>
    <w:rsid w:val="00F54DF1"/>
    <w:rsid w:val="00F5531B"/>
    <w:rsid w:val="00F56B40"/>
    <w:rsid w:val="00F701FC"/>
    <w:rsid w:val="00F74302"/>
    <w:rsid w:val="00F75EAD"/>
    <w:rsid w:val="00F77293"/>
    <w:rsid w:val="00F777CC"/>
    <w:rsid w:val="00F83EEC"/>
    <w:rsid w:val="00F867EB"/>
    <w:rsid w:val="00F8683A"/>
    <w:rsid w:val="00F86A92"/>
    <w:rsid w:val="00F876EA"/>
    <w:rsid w:val="00F93492"/>
    <w:rsid w:val="00F972EA"/>
    <w:rsid w:val="00FA292D"/>
    <w:rsid w:val="00FA3484"/>
    <w:rsid w:val="00FA3602"/>
    <w:rsid w:val="00FA4298"/>
    <w:rsid w:val="00FA652B"/>
    <w:rsid w:val="00FA7C1C"/>
    <w:rsid w:val="00FA7E84"/>
    <w:rsid w:val="00FB099E"/>
    <w:rsid w:val="00FB3465"/>
    <w:rsid w:val="00FC13F8"/>
    <w:rsid w:val="00FC23E1"/>
    <w:rsid w:val="00FC2A6D"/>
    <w:rsid w:val="00FC3B93"/>
    <w:rsid w:val="00FC7D7A"/>
    <w:rsid w:val="00FD0BD2"/>
    <w:rsid w:val="00FD283C"/>
    <w:rsid w:val="00FD60F0"/>
    <w:rsid w:val="00FD6504"/>
    <w:rsid w:val="00FD66E3"/>
    <w:rsid w:val="00FE0BF1"/>
    <w:rsid w:val="00FE3751"/>
    <w:rsid w:val="00FE4382"/>
    <w:rsid w:val="00FE5CB3"/>
    <w:rsid w:val="00FE74CD"/>
    <w:rsid w:val="00FE7821"/>
    <w:rsid w:val="00FF00AF"/>
    <w:rsid w:val="00FF0613"/>
    <w:rsid w:val="00FF0E51"/>
    <w:rsid w:val="00FF35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03DF59"/>
  <w15:chartTrackingRefBased/>
  <w15:docId w15:val="{EBD6B0BD-02B1-487E-8489-5574EFB20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0"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636"/>
    <w:pPr>
      <w:spacing w:line="312" w:lineRule="auto"/>
    </w:pPr>
    <w:rPr>
      <w:rFonts w:ascii="Franklin Gothic Book" w:hAnsi="Franklin Gothic Book"/>
      <w:spacing w:val="2"/>
      <w:kern w:val="21"/>
      <w:sz w:val="21"/>
    </w:rPr>
  </w:style>
  <w:style w:type="paragraph" w:styleId="Heading1">
    <w:name w:val="heading 1"/>
    <w:basedOn w:val="Normal"/>
    <w:next w:val="Normal"/>
    <w:link w:val="Heading1Char"/>
    <w:uiPriority w:val="9"/>
    <w:qFormat/>
    <w:rsid w:val="000A7858"/>
    <w:pPr>
      <w:numPr>
        <w:numId w:val="38"/>
      </w:numPr>
      <w:spacing w:before="480" w:after="120" w:line="264" w:lineRule="auto"/>
      <w:outlineLvl w:val="0"/>
    </w:pPr>
    <w:rPr>
      <w:rFonts w:ascii="Century Gothic" w:eastAsiaTheme="majorEastAsia" w:hAnsi="Century Gothic" w:cstheme="majorBidi"/>
      <w:caps/>
      <w:color w:val="2B3A57"/>
      <w:spacing w:val="0"/>
      <w:sz w:val="48"/>
      <w:szCs w:val="72"/>
    </w:rPr>
  </w:style>
  <w:style w:type="paragraph" w:styleId="Heading2">
    <w:name w:val="heading 2"/>
    <w:basedOn w:val="Heading1"/>
    <w:next w:val="Normal"/>
    <w:link w:val="Heading2Char"/>
    <w:uiPriority w:val="9"/>
    <w:unhideWhenUsed/>
    <w:qFormat/>
    <w:rsid w:val="000A7858"/>
    <w:pPr>
      <w:numPr>
        <w:ilvl w:val="1"/>
      </w:numPr>
      <w:spacing w:before="360" w:after="80"/>
      <w:outlineLvl w:val="1"/>
    </w:pPr>
    <w:rPr>
      <w:rFonts w:cs="Arial"/>
      <w:caps w:val="0"/>
      <w:color w:val="057299"/>
      <w:sz w:val="26"/>
      <w:szCs w:val="22"/>
    </w:rPr>
  </w:style>
  <w:style w:type="paragraph" w:styleId="Heading3">
    <w:name w:val="heading 3"/>
    <w:basedOn w:val="Normal"/>
    <w:next w:val="Normal"/>
    <w:link w:val="Heading3Char"/>
    <w:uiPriority w:val="9"/>
    <w:unhideWhenUsed/>
    <w:qFormat/>
    <w:rsid w:val="000A7858"/>
    <w:pPr>
      <w:numPr>
        <w:ilvl w:val="2"/>
        <w:numId w:val="38"/>
      </w:numPr>
      <w:spacing w:before="240" w:after="60"/>
      <w:outlineLvl w:val="2"/>
    </w:pPr>
    <w:rPr>
      <w:rFonts w:ascii="Century Gothic" w:eastAsiaTheme="majorEastAsia" w:hAnsi="Century Gothic" w:cs="Arial"/>
      <w:color w:val="0685B2"/>
      <w:spacing w:val="0"/>
      <w:sz w:val="22"/>
    </w:rPr>
  </w:style>
  <w:style w:type="paragraph" w:styleId="Heading4">
    <w:name w:val="heading 4"/>
    <w:basedOn w:val="Heading3"/>
    <w:next w:val="Normal"/>
    <w:link w:val="Heading4Char"/>
    <w:uiPriority w:val="9"/>
    <w:unhideWhenUsed/>
    <w:qFormat/>
    <w:rsid w:val="000A7858"/>
    <w:pPr>
      <w:numPr>
        <w:ilvl w:val="0"/>
        <w:numId w:val="0"/>
      </w:numPr>
      <w:ind w:left="-3787" w:hanging="720"/>
      <w:outlineLvl w:val="3"/>
    </w:pPr>
    <w:rPr>
      <w:spacing w:val="-6"/>
    </w:rPr>
  </w:style>
  <w:style w:type="paragraph" w:styleId="Heading5">
    <w:name w:val="heading 5"/>
    <w:basedOn w:val="Normal"/>
    <w:next w:val="Normal"/>
    <w:link w:val="Heading5Char"/>
    <w:uiPriority w:val="9"/>
    <w:unhideWhenUsed/>
    <w:qFormat/>
    <w:rsid w:val="000A7858"/>
    <w:pPr>
      <w:keepNext/>
      <w:keepLines/>
      <w:spacing w:before="40" w:after="0"/>
      <w:outlineLvl w:val="4"/>
    </w:pPr>
    <w:rPr>
      <w:rFonts w:ascii="Arial Bold" w:eastAsiaTheme="majorEastAsia" w:hAnsi="Arial Bold" w:cstheme="majorBidi"/>
      <w:b/>
      <w:color w:val="DAAE28" w:themeColor="accent1"/>
      <w:spacing w:val="0"/>
      <w:kern w:val="0"/>
      <w:sz w:val="24"/>
    </w:rPr>
  </w:style>
  <w:style w:type="paragraph" w:styleId="Heading6">
    <w:name w:val="heading 6"/>
    <w:basedOn w:val="Normal"/>
    <w:next w:val="Normal"/>
    <w:link w:val="Heading6Char"/>
    <w:uiPriority w:val="9"/>
    <w:unhideWhenUsed/>
    <w:rsid w:val="009E5EBE"/>
    <w:pPr>
      <w:keepNext/>
      <w:keepLines/>
      <w:spacing w:before="80" w:after="0" w:line="240" w:lineRule="auto"/>
      <w:outlineLvl w:val="5"/>
    </w:pPr>
    <w:rPr>
      <w:rFonts w:asciiTheme="majorHAnsi" w:eastAsiaTheme="majorEastAsia" w:hAnsiTheme="majorHAnsi" w:cstheme="majorBidi"/>
      <w:i/>
      <w:iCs/>
      <w:sz w:val="24"/>
      <w:szCs w:val="24"/>
    </w:rPr>
  </w:style>
  <w:style w:type="paragraph" w:styleId="Heading7">
    <w:name w:val="heading 7"/>
    <w:basedOn w:val="Normal"/>
    <w:next w:val="Normal"/>
    <w:link w:val="Heading7Char"/>
    <w:uiPriority w:val="9"/>
    <w:semiHidden/>
    <w:unhideWhenUsed/>
    <w:qFormat/>
    <w:rsid w:val="000A7858"/>
    <w:pPr>
      <w:keepNext/>
      <w:keepLines/>
      <w:spacing w:before="40" w:after="0"/>
      <w:outlineLvl w:val="6"/>
    </w:pPr>
    <w:rPr>
      <w:rFonts w:asciiTheme="majorHAnsi" w:eastAsiaTheme="majorEastAsia" w:hAnsiTheme="majorHAnsi" w:cstheme="majorBidi"/>
      <w:i/>
      <w:iCs/>
      <w:color w:val="6D5613" w:themeColor="accent1" w:themeShade="7F"/>
      <w:spacing w:val="0"/>
      <w:kern w:val="0"/>
      <w:sz w:val="20"/>
    </w:rPr>
  </w:style>
  <w:style w:type="paragraph" w:styleId="Heading8">
    <w:name w:val="heading 8"/>
    <w:basedOn w:val="Normal"/>
    <w:next w:val="Normal"/>
    <w:link w:val="Heading8Char"/>
    <w:uiPriority w:val="9"/>
    <w:unhideWhenUsed/>
    <w:qFormat/>
    <w:rsid w:val="000A7858"/>
    <w:pPr>
      <w:keepNext/>
      <w:keepLines/>
      <w:spacing w:before="40" w:after="0"/>
      <w:outlineLvl w:val="7"/>
    </w:pPr>
    <w:rPr>
      <w:rFonts w:asciiTheme="majorHAnsi" w:eastAsiaTheme="majorEastAsia" w:hAnsiTheme="majorHAnsi" w:cstheme="majorBidi"/>
      <w:color w:val="272727" w:themeColor="text1" w:themeTint="D8"/>
      <w:spacing w:val="0"/>
      <w:kern w:val="0"/>
      <w:szCs w:val="21"/>
    </w:rPr>
  </w:style>
  <w:style w:type="paragraph" w:styleId="Heading9">
    <w:name w:val="heading 9"/>
    <w:basedOn w:val="Normal"/>
    <w:next w:val="Normal"/>
    <w:link w:val="Heading9Char"/>
    <w:uiPriority w:val="9"/>
    <w:unhideWhenUsed/>
    <w:qFormat/>
    <w:rsid w:val="000A7858"/>
    <w:pPr>
      <w:keepNext/>
      <w:keepLines/>
      <w:spacing w:before="40" w:after="0"/>
      <w:outlineLvl w:val="8"/>
    </w:pPr>
    <w:rPr>
      <w:rFonts w:asciiTheme="majorHAnsi" w:eastAsiaTheme="majorEastAsia" w:hAnsiTheme="majorHAnsi" w:cstheme="majorBidi"/>
      <w:i/>
      <w:iCs/>
      <w:color w:val="272727" w:themeColor="text1" w:themeTint="D8"/>
      <w:spacing w:val="0"/>
      <w:kern w:val="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7858"/>
    <w:rPr>
      <w:rFonts w:ascii="Century Gothic" w:eastAsiaTheme="majorEastAsia" w:hAnsi="Century Gothic" w:cstheme="majorBidi"/>
      <w:caps/>
      <w:color w:val="2B3A57"/>
      <w:kern w:val="21"/>
      <w:sz w:val="48"/>
      <w:szCs w:val="72"/>
    </w:rPr>
  </w:style>
  <w:style w:type="character" w:customStyle="1" w:styleId="Heading2Char">
    <w:name w:val="Heading 2 Char"/>
    <w:basedOn w:val="DefaultParagraphFont"/>
    <w:link w:val="Heading2"/>
    <w:uiPriority w:val="9"/>
    <w:rsid w:val="000A7858"/>
    <w:rPr>
      <w:rFonts w:ascii="Century Gothic" w:eastAsiaTheme="majorEastAsia" w:hAnsi="Century Gothic" w:cs="Arial"/>
      <w:color w:val="057299"/>
      <w:kern w:val="21"/>
      <w:sz w:val="26"/>
    </w:rPr>
  </w:style>
  <w:style w:type="character" w:customStyle="1" w:styleId="Heading3Char">
    <w:name w:val="Heading 3 Char"/>
    <w:basedOn w:val="DefaultParagraphFont"/>
    <w:link w:val="Heading3"/>
    <w:uiPriority w:val="9"/>
    <w:rsid w:val="000A7858"/>
    <w:rPr>
      <w:rFonts w:ascii="Century Gothic" w:eastAsiaTheme="majorEastAsia" w:hAnsi="Century Gothic" w:cs="Arial"/>
      <w:color w:val="0685B2"/>
      <w:kern w:val="21"/>
    </w:rPr>
  </w:style>
  <w:style w:type="character" w:customStyle="1" w:styleId="Heading4Char">
    <w:name w:val="Heading 4 Char"/>
    <w:basedOn w:val="DefaultParagraphFont"/>
    <w:link w:val="Heading4"/>
    <w:uiPriority w:val="9"/>
    <w:rsid w:val="000A7858"/>
    <w:rPr>
      <w:rFonts w:ascii="Century Gothic" w:eastAsiaTheme="majorEastAsia" w:hAnsi="Century Gothic" w:cs="Arial"/>
      <w:color w:val="0685B2"/>
      <w:spacing w:val="-6"/>
      <w:kern w:val="21"/>
    </w:rPr>
  </w:style>
  <w:style w:type="character" w:customStyle="1" w:styleId="Heading5Char">
    <w:name w:val="Heading 5 Char"/>
    <w:basedOn w:val="DefaultParagraphFont"/>
    <w:link w:val="Heading5"/>
    <w:uiPriority w:val="9"/>
    <w:rsid w:val="000A7858"/>
    <w:rPr>
      <w:rFonts w:ascii="Arial Bold" w:eastAsiaTheme="majorEastAsia" w:hAnsi="Arial Bold" w:cstheme="majorBidi"/>
      <w:b/>
      <w:color w:val="DAAE28" w:themeColor="accent1"/>
      <w:sz w:val="24"/>
    </w:rPr>
  </w:style>
  <w:style w:type="paragraph" w:styleId="Quote">
    <w:name w:val="Quote"/>
    <w:basedOn w:val="Normal"/>
    <w:next w:val="Normal"/>
    <w:link w:val="QuoteChar"/>
    <w:uiPriority w:val="29"/>
    <w:qFormat/>
    <w:rsid w:val="000A7858"/>
    <w:pPr>
      <w:spacing w:before="200"/>
      <w:ind w:left="864" w:right="864"/>
      <w:jc w:val="center"/>
    </w:pPr>
    <w:rPr>
      <w:rFonts w:ascii="Zilla Slab" w:hAnsi="Zilla Slab"/>
      <w:i/>
      <w:iCs/>
      <w:color w:val="4F5150" w:themeColor="text2"/>
      <w:spacing w:val="0"/>
      <w:kern w:val="0"/>
      <w:sz w:val="20"/>
    </w:rPr>
  </w:style>
  <w:style w:type="character" w:customStyle="1" w:styleId="QuoteChar">
    <w:name w:val="Quote Char"/>
    <w:basedOn w:val="DefaultParagraphFont"/>
    <w:link w:val="Quote"/>
    <w:uiPriority w:val="29"/>
    <w:rsid w:val="000A7858"/>
    <w:rPr>
      <w:rFonts w:ascii="Zilla Slab" w:hAnsi="Zilla Slab"/>
      <w:i/>
      <w:iCs/>
      <w:color w:val="4F5150" w:themeColor="text2"/>
      <w:sz w:val="20"/>
    </w:rPr>
  </w:style>
  <w:style w:type="paragraph" w:styleId="IntenseQuote">
    <w:name w:val="Intense Quote"/>
    <w:basedOn w:val="Normal"/>
    <w:next w:val="Normal"/>
    <w:link w:val="IntenseQuoteChar"/>
    <w:uiPriority w:val="30"/>
    <w:rsid w:val="000A7858"/>
    <w:pPr>
      <w:pBdr>
        <w:top w:val="single" w:sz="4" w:space="10" w:color="DAAE28" w:themeColor="accent1"/>
        <w:bottom w:val="single" w:sz="4" w:space="10" w:color="DAAE28" w:themeColor="accent1"/>
      </w:pBdr>
      <w:spacing w:before="360" w:after="360"/>
      <w:ind w:left="864" w:right="864"/>
      <w:jc w:val="center"/>
    </w:pPr>
    <w:rPr>
      <w:rFonts w:ascii="Zilla Slab" w:hAnsi="Zilla Slab"/>
      <w:i/>
      <w:iCs/>
      <w:color w:val="DAAE28" w:themeColor="accent1"/>
      <w:spacing w:val="0"/>
      <w:kern w:val="0"/>
      <w:sz w:val="22"/>
    </w:rPr>
  </w:style>
  <w:style w:type="character" w:customStyle="1" w:styleId="IntenseQuoteChar">
    <w:name w:val="Intense Quote Char"/>
    <w:basedOn w:val="DefaultParagraphFont"/>
    <w:link w:val="IntenseQuote"/>
    <w:uiPriority w:val="30"/>
    <w:rsid w:val="000A7858"/>
    <w:rPr>
      <w:rFonts w:ascii="Zilla Slab" w:hAnsi="Zilla Slab"/>
      <w:i/>
      <w:iCs/>
      <w:color w:val="DAAE28" w:themeColor="accent1"/>
    </w:rPr>
  </w:style>
  <w:style w:type="paragraph" w:styleId="Subtitle">
    <w:name w:val="Subtitle"/>
    <w:basedOn w:val="Normal"/>
    <w:next w:val="Normal"/>
    <w:link w:val="SubtitleChar"/>
    <w:rsid w:val="000A7858"/>
    <w:pPr>
      <w:numPr>
        <w:ilvl w:val="1"/>
      </w:numPr>
      <w:jc w:val="center"/>
    </w:pPr>
    <w:rPr>
      <w:rFonts w:ascii="Zilla Slab" w:eastAsiaTheme="minorEastAsia" w:hAnsi="Zilla Slab"/>
      <w:color w:val="4F5150" w:themeColor="text2"/>
      <w:spacing w:val="15"/>
      <w:kern w:val="0"/>
      <w:sz w:val="48"/>
    </w:rPr>
  </w:style>
  <w:style w:type="character" w:customStyle="1" w:styleId="SubtitleChar">
    <w:name w:val="Subtitle Char"/>
    <w:basedOn w:val="DefaultParagraphFont"/>
    <w:link w:val="Subtitle"/>
    <w:rsid w:val="000A7858"/>
    <w:rPr>
      <w:rFonts w:ascii="Zilla Slab" w:eastAsiaTheme="minorEastAsia" w:hAnsi="Zilla Slab"/>
      <w:color w:val="4F5150" w:themeColor="text2"/>
      <w:spacing w:val="15"/>
      <w:sz w:val="48"/>
    </w:rPr>
  </w:style>
  <w:style w:type="character" w:styleId="Emphasis">
    <w:name w:val="Emphasis"/>
    <w:uiPriority w:val="20"/>
    <w:rsid w:val="000A7858"/>
    <w:rPr>
      <w:b/>
      <w:color w:val="DAAE28" w:themeColor="accent1"/>
      <w:sz w:val="24"/>
    </w:rPr>
  </w:style>
  <w:style w:type="character" w:styleId="SubtleReference">
    <w:name w:val="Subtle Reference"/>
    <w:basedOn w:val="DefaultParagraphFont"/>
    <w:uiPriority w:val="31"/>
    <w:qFormat/>
    <w:rsid w:val="000A7858"/>
    <w:rPr>
      <w:smallCaps/>
      <w:color w:val="4F5150" w:themeColor="text2"/>
    </w:rPr>
  </w:style>
  <w:style w:type="character" w:styleId="SubtleEmphasis">
    <w:name w:val="Subtle Emphasis"/>
    <w:aliases w:val="Table Note"/>
    <w:basedOn w:val="DefaultParagraphFont"/>
    <w:uiPriority w:val="19"/>
    <w:qFormat/>
    <w:rsid w:val="000A7858"/>
    <w:rPr>
      <w:rFonts w:ascii="Arial" w:hAnsi="Arial"/>
      <w:i/>
      <w:iCs/>
      <w:color w:val="4F5150" w:themeColor="text2"/>
    </w:rPr>
  </w:style>
  <w:style w:type="paragraph" w:styleId="Title">
    <w:name w:val="Title"/>
    <w:basedOn w:val="Normal"/>
    <w:next w:val="Normal"/>
    <w:link w:val="TitleChar"/>
    <w:qFormat/>
    <w:rsid w:val="000A7858"/>
    <w:pPr>
      <w:spacing w:before="120" w:after="200" w:line="276" w:lineRule="auto"/>
      <w:jc w:val="center"/>
    </w:pPr>
    <w:rPr>
      <w:rFonts w:ascii="Arial Bold" w:eastAsia="Arial" w:hAnsi="Arial Bold" w:cs="Arial"/>
      <w:color w:val="DAAE28" w:themeColor="accent1"/>
      <w:spacing w:val="0"/>
      <w:kern w:val="0"/>
      <w:sz w:val="72"/>
      <w:szCs w:val="40"/>
      <w:lang w:val="en"/>
    </w:rPr>
  </w:style>
  <w:style w:type="character" w:customStyle="1" w:styleId="TitleChar">
    <w:name w:val="Title Char"/>
    <w:basedOn w:val="DefaultParagraphFont"/>
    <w:link w:val="Title"/>
    <w:rsid w:val="000A7858"/>
    <w:rPr>
      <w:rFonts w:ascii="Arial Bold" w:eastAsia="Arial" w:hAnsi="Arial Bold" w:cs="Arial"/>
      <w:color w:val="DAAE28" w:themeColor="accent1"/>
      <w:sz w:val="72"/>
      <w:szCs w:val="40"/>
      <w:lang w:val="en"/>
    </w:rPr>
  </w:style>
  <w:style w:type="paragraph" w:styleId="Header">
    <w:name w:val="header"/>
    <w:basedOn w:val="Normal"/>
    <w:link w:val="HeaderChar"/>
    <w:uiPriority w:val="99"/>
    <w:unhideWhenUsed/>
    <w:rsid w:val="005005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5EE"/>
    <w:rPr>
      <w:rFonts w:ascii="Arial" w:hAnsi="Arial"/>
      <w:sz w:val="20"/>
    </w:rPr>
  </w:style>
  <w:style w:type="paragraph" w:styleId="TOC1">
    <w:name w:val="toc 1"/>
    <w:basedOn w:val="Normal"/>
    <w:next w:val="Normal"/>
    <w:autoRedefine/>
    <w:uiPriority w:val="39"/>
    <w:unhideWhenUsed/>
    <w:rsid w:val="00352945"/>
    <w:pPr>
      <w:tabs>
        <w:tab w:val="right" w:pos="810"/>
        <w:tab w:val="right" w:leader="dot" w:pos="9350"/>
      </w:tabs>
      <w:spacing w:before="240" w:after="120" w:line="240" w:lineRule="auto"/>
      <w:ind w:left="720" w:hanging="720"/>
    </w:pPr>
    <w:rPr>
      <w:rFonts w:ascii="Century Gothic" w:hAnsi="Century Gothic"/>
      <w:b/>
      <w:caps/>
      <w:color w:val="2B3A57"/>
      <w:spacing w:val="0"/>
      <w:sz w:val="24"/>
    </w:rPr>
  </w:style>
  <w:style w:type="paragraph" w:styleId="TOC2">
    <w:name w:val="toc 2"/>
    <w:basedOn w:val="Normal"/>
    <w:next w:val="Normal"/>
    <w:autoRedefine/>
    <w:uiPriority w:val="39"/>
    <w:unhideWhenUsed/>
    <w:rsid w:val="00806AE3"/>
    <w:pPr>
      <w:tabs>
        <w:tab w:val="right" w:leader="dot" w:pos="9350"/>
      </w:tabs>
      <w:spacing w:before="120" w:after="60" w:line="240" w:lineRule="auto"/>
      <w:ind w:left="990" w:hanging="702"/>
    </w:pPr>
    <w:rPr>
      <w:rFonts w:ascii="Century Gothic" w:hAnsi="Century Gothic"/>
      <w:color w:val="2B3957" w:themeColor="accent2"/>
      <w:spacing w:val="0"/>
    </w:rPr>
  </w:style>
  <w:style w:type="paragraph" w:styleId="Footer">
    <w:name w:val="footer"/>
    <w:basedOn w:val="Normal"/>
    <w:link w:val="FooterChar"/>
    <w:uiPriority w:val="99"/>
    <w:unhideWhenUsed/>
    <w:rsid w:val="005005EE"/>
    <w:pPr>
      <w:tabs>
        <w:tab w:val="center" w:pos="4680"/>
        <w:tab w:val="right" w:pos="9360"/>
      </w:tabs>
      <w:spacing w:after="0" w:line="240" w:lineRule="auto"/>
    </w:pPr>
    <w:rPr>
      <w:color w:val="66AD47" w:themeColor="accent4"/>
    </w:rPr>
  </w:style>
  <w:style w:type="character" w:customStyle="1" w:styleId="FooterChar">
    <w:name w:val="Footer Char"/>
    <w:basedOn w:val="DefaultParagraphFont"/>
    <w:link w:val="Footer"/>
    <w:uiPriority w:val="99"/>
    <w:rsid w:val="005005EE"/>
    <w:rPr>
      <w:rFonts w:ascii="Arial" w:hAnsi="Arial"/>
      <w:color w:val="66AD47" w:themeColor="accent4"/>
      <w:sz w:val="20"/>
    </w:rPr>
  </w:style>
  <w:style w:type="paragraph" w:styleId="ListParagraph">
    <w:name w:val="List Paragraph"/>
    <w:basedOn w:val="Compact"/>
    <w:uiPriority w:val="34"/>
    <w:qFormat/>
    <w:rsid w:val="000A7858"/>
    <w:pPr>
      <w:numPr>
        <w:numId w:val="31"/>
      </w:numPr>
      <w:spacing w:after="100" w:line="288" w:lineRule="auto"/>
    </w:pPr>
  </w:style>
  <w:style w:type="character" w:styleId="Hyperlink">
    <w:name w:val="Hyperlink"/>
    <w:basedOn w:val="DefaultParagraphFont"/>
    <w:uiPriority w:val="99"/>
    <w:unhideWhenUsed/>
    <w:rsid w:val="00F8683A"/>
    <w:rPr>
      <w:color w:val="000000" w:themeColor="hyperlink"/>
      <w:u w:val="single"/>
    </w:rPr>
  </w:style>
  <w:style w:type="character" w:styleId="FollowedHyperlink">
    <w:name w:val="FollowedHyperlink"/>
    <w:basedOn w:val="DefaultParagraphFont"/>
    <w:unhideWhenUsed/>
    <w:rsid w:val="00F8683A"/>
    <w:rPr>
      <w:color w:val="000000" w:themeColor="followedHyperlink"/>
      <w:u w:val="single"/>
    </w:rPr>
  </w:style>
  <w:style w:type="table" w:styleId="GridTable5Dark-Accent1">
    <w:name w:val="Grid Table 5 Dark Accent 1"/>
    <w:basedOn w:val="TableNormal"/>
    <w:uiPriority w:val="50"/>
    <w:rsid w:val="00F868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EED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AAE2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AAE2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AAE2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AAE28" w:themeFill="accent1"/>
      </w:tcPr>
    </w:tblStylePr>
    <w:tblStylePr w:type="band1Vert">
      <w:tblPr/>
      <w:tcPr>
        <w:shd w:val="clear" w:color="auto" w:fill="F0DEA8" w:themeFill="accent1" w:themeFillTint="66"/>
      </w:tcPr>
    </w:tblStylePr>
    <w:tblStylePr w:type="band1Horz">
      <w:tblPr/>
      <w:tcPr>
        <w:shd w:val="clear" w:color="auto" w:fill="F0DEA8" w:themeFill="accent1" w:themeFillTint="66"/>
      </w:tcPr>
    </w:tblStylePr>
  </w:style>
  <w:style w:type="table" w:styleId="ListTable3-Accent1">
    <w:name w:val="List Table 3 Accent 1"/>
    <w:basedOn w:val="TableNormal"/>
    <w:uiPriority w:val="48"/>
    <w:rsid w:val="00F8683A"/>
    <w:pPr>
      <w:spacing w:after="0" w:line="240" w:lineRule="auto"/>
    </w:pPr>
    <w:tblPr>
      <w:tblStyleRowBandSize w:val="1"/>
      <w:tblStyleColBandSize w:val="1"/>
      <w:tblBorders>
        <w:top w:val="single" w:sz="4" w:space="0" w:color="DAAE28" w:themeColor="accent1"/>
        <w:left w:val="single" w:sz="4" w:space="0" w:color="DAAE28" w:themeColor="accent1"/>
        <w:bottom w:val="single" w:sz="4" w:space="0" w:color="DAAE28" w:themeColor="accent1"/>
        <w:right w:val="single" w:sz="4" w:space="0" w:color="DAAE28" w:themeColor="accent1"/>
      </w:tblBorders>
    </w:tblPr>
    <w:tblStylePr w:type="firstRow">
      <w:rPr>
        <w:b/>
        <w:bCs/>
        <w:color w:val="FFFFFF" w:themeColor="background1"/>
      </w:rPr>
      <w:tblPr/>
      <w:tcPr>
        <w:shd w:val="clear" w:color="auto" w:fill="DAAE28" w:themeFill="accent1"/>
      </w:tcPr>
    </w:tblStylePr>
    <w:tblStylePr w:type="lastRow">
      <w:rPr>
        <w:b/>
        <w:bCs/>
      </w:rPr>
      <w:tblPr/>
      <w:tcPr>
        <w:tcBorders>
          <w:top w:val="double" w:sz="4" w:space="0" w:color="DAAE2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AAE28" w:themeColor="accent1"/>
          <w:right w:val="single" w:sz="4" w:space="0" w:color="DAAE28" w:themeColor="accent1"/>
        </w:tcBorders>
      </w:tcPr>
    </w:tblStylePr>
    <w:tblStylePr w:type="band1Horz">
      <w:tblPr/>
      <w:tcPr>
        <w:tcBorders>
          <w:top w:val="single" w:sz="4" w:space="0" w:color="DAAE28" w:themeColor="accent1"/>
          <w:bottom w:val="single" w:sz="4" w:space="0" w:color="DAAE2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AAE28" w:themeColor="accent1"/>
          <w:left w:val="nil"/>
        </w:tcBorders>
      </w:tcPr>
    </w:tblStylePr>
    <w:tblStylePr w:type="swCell">
      <w:tblPr/>
      <w:tcPr>
        <w:tcBorders>
          <w:top w:val="double" w:sz="4" w:space="0" w:color="DAAE28" w:themeColor="accent1"/>
          <w:right w:val="nil"/>
        </w:tcBorders>
      </w:tcPr>
    </w:tblStylePr>
  </w:style>
  <w:style w:type="table" w:styleId="ListTable4-Accent1">
    <w:name w:val="List Table 4 Accent 1"/>
    <w:basedOn w:val="TableNormal"/>
    <w:uiPriority w:val="49"/>
    <w:rsid w:val="00F8683A"/>
    <w:pPr>
      <w:spacing w:after="0" w:line="240" w:lineRule="auto"/>
    </w:pPr>
    <w:tblPr>
      <w:tblStyleRowBandSize w:val="1"/>
      <w:tblStyleColBandSize w:val="1"/>
      <w:tblBorders>
        <w:top w:val="single" w:sz="4" w:space="0" w:color="E8CD7D" w:themeColor="accent1" w:themeTint="99"/>
        <w:left w:val="single" w:sz="4" w:space="0" w:color="E8CD7D" w:themeColor="accent1" w:themeTint="99"/>
        <w:bottom w:val="single" w:sz="4" w:space="0" w:color="E8CD7D" w:themeColor="accent1" w:themeTint="99"/>
        <w:right w:val="single" w:sz="4" w:space="0" w:color="E8CD7D" w:themeColor="accent1" w:themeTint="99"/>
        <w:insideH w:val="single" w:sz="4" w:space="0" w:color="E8CD7D" w:themeColor="accent1" w:themeTint="99"/>
      </w:tblBorders>
    </w:tblPr>
    <w:tblStylePr w:type="firstRow">
      <w:rPr>
        <w:b/>
        <w:bCs/>
        <w:color w:val="FFFFFF" w:themeColor="background1"/>
      </w:rPr>
      <w:tblPr/>
      <w:tcPr>
        <w:tcBorders>
          <w:top w:val="single" w:sz="4" w:space="0" w:color="DAAE28" w:themeColor="accent1"/>
          <w:left w:val="single" w:sz="4" w:space="0" w:color="DAAE28" w:themeColor="accent1"/>
          <w:bottom w:val="single" w:sz="4" w:space="0" w:color="DAAE28" w:themeColor="accent1"/>
          <w:right w:val="single" w:sz="4" w:space="0" w:color="DAAE28" w:themeColor="accent1"/>
          <w:insideH w:val="nil"/>
        </w:tcBorders>
        <w:shd w:val="clear" w:color="auto" w:fill="DAAE28" w:themeFill="accent1"/>
      </w:tcPr>
    </w:tblStylePr>
    <w:tblStylePr w:type="lastRow">
      <w:rPr>
        <w:b/>
        <w:bCs/>
      </w:rPr>
      <w:tblPr/>
      <w:tcPr>
        <w:tcBorders>
          <w:top w:val="double" w:sz="4" w:space="0" w:color="E8CD7D" w:themeColor="accent1" w:themeTint="99"/>
        </w:tcBorders>
      </w:tcPr>
    </w:tblStylePr>
    <w:tblStylePr w:type="firstCol">
      <w:rPr>
        <w:b/>
        <w:bCs/>
      </w:rPr>
    </w:tblStylePr>
    <w:tblStylePr w:type="lastCol">
      <w:rPr>
        <w:b/>
        <w:bCs/>
      </w:rPr>
    </w:tblStylePr>
    <w:tblStylePr w:type="band1Vert">
      <w:tblPr/>
      <w:tcPr>
        <w:shd w:val="clear" w:color="auto" w:fill="F7EED3" w:themeFill="accent1" w:themeFillTint="33"/>
      </w:tcPr>
    </w:tblStylePr>
    <w:tblStylePr w:type="band1Horz">
      <w:tblPr/>
      <w:tcPr>
        <w:shd w:val="clear" w:color="auto" w:fill="F7EED3" w:themeFill="accent1" w:themeFillTint="33"/>
      </w:tcPr>
    </w:tblStylePr>
  </w:style>
  <w:style w:type="paragraph" w:styleId="TOCHeading">
    <w:name w:val="TOC Heading"/>
    <w:basedOn w:val="Heading1"/>
    <w:next w:val="Normal"/>
    <w:uiPriority w:val="39"/>
    <w:unhideWhenUsed/>
    <w:rsid w:val="000A7858"/>
    <w:pPr>
      <w:keepNext/>
      <w:keepLines/>
      <w:numPr>
        <w:numId w:val="0"/>
      </w:numPr>
      <w:spacing w:before="240" w:after="0"/>
      <w:outlineLvl w:val="9"/>
    </w:pPr>
    <w:rPr>
      <w:rFonts w:ascii="Arial" w:hAnsi="Arial"/>
      <w:color w:val="A4821C" w:themeColor="accent1" w:themeShade="BF"/>
      <w:sz w:val="32"/>
      <w:szCs w:val="32"/>
    </w:rPr>
  </w:style>
  <w:style w:type="paragraph" w:customStyle="1" w:styleId="Compact">
    <w:name w:val="Compact"/>
    <w:basedOn w:val="Normal"/>
    <w:qFormat/>
    <w:rsid w:val="000A7858"/>
    <w:pPr>
      <w:spacing w:before="36" w:after="36" w:line="240" w:lineRule="auto"/>
    </w:pPr>
    <w:rPr>
      <w:szCs w:val="24"/>
    </w:rPr>
  </w:style>
  <w:style w:type="paragraph" w:customStyle="1" w:styleId="Author">
    <w:name w:val="Author"/>
    <w:next w:val="Normal"/>
    <w:rsid w:val="000A7858"/>
    <w:pPr>
      <w:keepNext/>
      <w:keepLines/>
      <w:spacing w:after="200" w:line="240" w:lineRule="auto"/>
      <w:jc w:val="center"/>
    </w:pPr>
    <w:rPr>
      <w:rFonts w:ascii="Arial" w:hAnsi="Arial"/>
      <w:sz w:val="24"/>
      <w:szCs w:val="24"/>
    </w:rPr>
  </w:style>
  <w:style w:type="paragraph" w:styleId="Date">
    <w:name w:val="Date"/>
    <w:next w:val="Normal"/>
    <w:link w:val="DateChar"/>
    <w:rsid w:val="000A7858"/>
    <w:pPr>
      <w:keepNext/>
      <w:keepLines/>
      <w:spacing w:after="200" w:line="240" w:lineRule="auto"/>
      <w:jc w:val="center"/>
    </w:pPr>
    <w:rPr>
      <w:sz w:val="24"/>
      <w:szCs w:val="24"/>
    </w:rPr>
  </w:style>
  <w:style w:type="character" w:customStyle="1" w:styleId="DateChar">
    <w:name w:val="Date Char"/>
    <w:basedOn w:val="DefaultParagraphFont"/>
    <w:link w:val="Date"/>
    <w:rsid w:val="000A7858"/>
    <w:rPr>
      <w:sz w:val="24"/>
      <w:szCs w:val="24"/>
    </w:rPr>
  </w:style>
  <w:style w:type="paragraph" w:customStyle="1" w:styleId="Abstract">
    <w:name w:val="Abstract"/>
    <w:basedOn w:val="Normal"/>
    <w:next w:val="Normal"/>
    <w:rsid w:val="000A7858"/>
    <w:pPr>
      <w:keepNext/>
      <w:keepLines/>
      <w:spacing w:before="300" w:after="300" w:line="240" w:lineRule="auto"/>
    </w:pPr>
    <w:rPr>
      <w:szCs w:val="20"/>
    </w:rPr>
  </w:style>
  <w:style w:type="paragraph" w:styleId="Bibliography">
    <w:name w:val="Bibliography"/>
    <w:basedOn w:val="Normal"/>
    <w:rsid w:val="000A7858"/>
    <w:pPr>
      <w:spacing w:before="180" w:after="180" w:line="240" w:lineRule="auto"/>
    </w:pPr>
    <w:rPr>
      <w:szCs w:val="24"/>
    </w:rPr>
  </w:style>
  <w:style w:type="paragraph" w:customStyle="1" w:styleId="BlockQuote">
    <w:name w:val="Block Quote"/>
    <w:basedOn w:val="Normal"/>
    <w:next w:val="Normal"/>
    <w:uiPriority w:val="9"/>
    <w:unhideWhenUsed/>
    <w:qFormat/>
    <w:rsid w:val="000A7858"/>
    <w:pPr>
      <w:spacing w:before="100" w:after="100" w:line="240" w:lineRule="auto"/>
    </w:pPr>
    <w:rPr>
      <w:rFonts w:asciiTheme="majorHAnsi" w:eastAsiaTheme="majorEastAsia" w:hAnsiTheme="majorHAnsi" w:cstheme="majorBidi"/>
      <w:bCs/>
      <w:szCs w:val="20"/>
    </w:rPr>
  </w:style>
  <w:style w:type="paragraph" w:styleId="FootnoteText">
    <w:name w:val="footnote text"/>
    <w:aliases w:val="FC Footnote Text"/>
    <w:basedOn w:val="Normal"/>
    <w:link w:val="FootnoteTextChar"/>
    <w:uiPriority w:val="99"/>
    <w:unhideWhenUsed/>
    <w:qFormat/>
    <w:rsid w:val="000A7858"/>
    <w:pPr>
      <w:spacing w:before="180" w:after="180" w:line="240" w:lineRule="auto"/>
    </w:pPr>
    <w:rPr>
      <w:rFonts w:ascii="Calibri Light" w:hAnsi="Calibri Light"/>
      <w:color w:val="404040" w:themeColor="text1" w:themeTint="BF"/>
      <w:sz w:val="18"/>
      <w:szCs w:val="18"/>
    </w:rPr>
  </w:style>
  <w:style w:type="character" w:customStyle="1" w:styleId="FootnoteTextChar">
    <w:name w:val="Footnote Text Char"/>
    <w:aliases w:val="FC Footnote Text Char"/>
    <w:basedOn w:val="DefaultParagraphFont"/>
    <w:link w:val="FootnoteText"/>
    <w:uiPriority w:val="99"/>
    <w:qFormat/>
    <w:rsid w:val="000A7858"/>
    <w:rPr>
      <w:rFonts w:ascii="Calibri Light" w:hAnsi="Calibri Light"/>
      <w:color w:val="404040" w:themeColor="text1" w:themeTint="BF"/>
      <w:spacing w:val="2"/>
      <w:kern w:val="21"/>
      <w:sz w:val="18"/>
      <w:szCs w:val="18"/>
    </w:rPr>
  </w:style>
  <w:style w:type="paragraph" w:customStyle="1" w:styleId="DefinitionTerm">
    <w:name w:val="Definition Term"/>
    <w:basedOn w:val="Normal"/>
    <w:next w:val="Definition"/>
    <w:rsid w:val="00C25CD5"/>
    <w:pPr>
      <w:keepNext/>
      <w:keepLines/>
      <w:spacing w:before="180" w:after="0" w:line="240" w:lineRule="auto"/>
    </w:pPr>
    <w:rPr>
      <w:b/>
      <w:szCs w:val="24"/>
    </w:rPr>
  </w:style>
  <w:style w:type="paragraph" w:customStyle="1" w:styleId="Definition">
    <w:name w:val="Definition"/>
    <w:basedOn w:val="Normal"/>
    <w:rsid w:val="00C25CD5"/>
    <w:pPr>
      <w:spacing w:before="180" w:after="180" w:line="240" w:lineRule="auto"/>
    </w:pPr>
    <w:rPr>
      <w:szCs w:val="24"/>
    </w:rPr>
  </w:style>
  <w:style w:type="paragraph" w:styleId="BodyText">
    <w:name w:val="Body Text"/>
    <w:basedOn w:val="Normal"/>
    <w:link w:val="BodyTextChar"/>
    <w:rsid w:val="00C25CD5"/>
    <w:pPr>
      <w:spacing w:before="180" w:after="120" w:line="240" w:lineRule="auto"/>
    </w:pPr>
    <w:rPr>
      <w:szCs w:val="24"/>
    </w:rPr>
  </w:style>
  <w:style w:type="character" w:customStyle="1" w:styleId="BodyTextChar">
    <w:name w:val="Body Text Char"/>
    <w:basedOn w:val="DefaultParagraphFont"/>
    <w:link w:val="BodyText"/>
    <w:rsid w:val="00C25CD5"/>
    <w:rPr>
      <w:sz w:val="20"/>
      <w:szCs w:val="24"/>
    </w:rPr>
  </w:style>
  <w:style w:type="paragraph" w:customStyle="1" w:styleId="TableCaption">
    <w:name w:val="Table Caption"/>
    <w:basedOn w:val="Normal"/>
    <w:rsid w:val="00C25CD5"/>
    <w:pPr>
      <w:spacing w:after="120" w:line="240" w:lineRule="auto"/>
    </w:pPr>
    <w:rPr>
      <w:i/>
      <w:szCs w:val="24"/>
    </w:rPr>
  </w:style>
  <w:style w:type="paragraph" w:customStyle="1" w:styleId="ImageCaption">
    <w:name w:val="Image Caption"/>
    <w:basedOn w:val="Normal"/>
    <w:rsid w:val="00C25CD5"/>
    <w:pPr>
      <w:spacing w:after="120" w:line="240" w:lineRule="auto"/>
    </w:pPr>
    <w:rPr>
      <w:i/>
      <w:szCs w:val="24"/>
    </w:rPr>
  </w:style>
  <w:style w:type="character" w:customStyle="1" w:styleId="VerbatimChar">
    <w:name w:val="Verbatim Char"/>
    <w:basedOn w:val="BodyTextChar"/>
    <w:link w:val="SourceCode"/>
    <w:rsid w:val="00C25CD5"/>
    <w:rPr>
      <w:rFonts w:ascii="Consolas" w:hAnsi="Consolas"/>
      <w:sz w:val="20"/>
      <w:szCs w:val="24"/>
    </w:rPr>
  </w:style>
  <w:style w:type="paragraph" w:customStyle="1" w:styleId="SourceCode">
    <w:name w:val="Source Code"/>
    <w:basedOn w:val="Normal"/>
    <w:link w:val="VerbatimChar"/>
    <w:rsid w:val="00C25CD5"/>
    <w:pPr>
      <w:wordWrap w:val="0"/>
      <w:spacing w:before="180" w:after="180" w:line="240" w:lineRule="auto"/>
    </w:pPr>
    <w:rPr>
      <w:rFonts w:ascii="Consolas" w:hAnsi="Consolas"/>
      <w:sz w:val="22"/>
      <w:szCs w:val="24"/>
    </w:rPr>
  </w:style>
  <w:style w:type="character" w:customStyle="1" w:styleId="FootnoteRef">
    <w:name w:val="Footnote Ref"/>
    <w:basedOn w:val="BodyTextChar"/>
    <w:rsid w:val="00C25CD5"/>
    <w:rPr>
      <w:sz w:val="20"/>
      <w:szCs w:val="24"/>
      <w:vertAlign w:val="superscript"/>
    </w:rPr>
  </w:style>
  <w:style w:type="character" w:customStyle="1" w:styleId="Link">
    <w:name w:val="Link"/>
    <w:basedOn w:val="BodyTextChar"/>
    <w:rsid w:val="00C25CD5"/>
    <w:rPr>
      <w:color w:val="DAAE28" w:themeColor="accent1"/>
      <w:sz w:val="20"/>
      <w:szCs w:val="24"/>
    </w:rPr>
  </w:style>
  <w:style w:type="paragraph" w:customStyle="1" w:styleId="SourceCode1">
    <w:name w:val="Source Code1"/>
    <w:basedOn w:val="Normal"/>
    <w:rsid w:val="00C25CD5"/>
    <w:pPr>
      <w:wordWrap w:val="0"/>
      <w:spacing w:before="180" w:after="180" w:line="240" w:lineRule="auto"/>
    </w:pPr>
    <w:rPr>
      <w:szCs w:val="24"/>
    </w:rPr>
  </w:style>
  <w:style w:type="character" w:customStyle="1" w:styleId="KeywordTok">
    <w:name w:val="KeywordTok"/>
    <w:basedOn w:val="VerbatimChar"/>
    <w:rsid w:val="00C25CD5"/>
    <w:rPr>
      <w:rFonts w:ascii="Consolas" w:hAnsi="Consolas"/>
      <w:b/>
      <w:color w:val="007020"/>
      <w:sz w:val="20"/>
      <w:szCs w:val="24"/>
    </w:rPr>
  </w:style>
  <w:style w:type="character" w:customStyle="1" w:styleId="DataTypeTok">
    <w:name w:val="DataTypeTok"/>
    <w:basedOn w:val="VerbatimChar"/>
    <w:rsid w:val="00C25CD5"/>
    <w:rPr>
      <w:rFonts w:ascii="Consolas" w:hAnsi="Consolas"/>
      <w:color w:val="902000"/>
      <w:sz w:val="20"/>
      <w:szCs w:val="24"/>
    </w:rPr>
  </w:style>
  <w:style w:type="character" w:customStyle="1" w:styleId="DecValTok">
    <w:name w:val="DecValTok"/>
    <w:basedOn w:val="VerbatimChar"/>
    <w:rsid w:val="00C25CD5"/>
    <w:rPr>
      <w:rFonts w:ascii="Consolas" w:hAnsi="Consolas"/>
      <w:color w:val="40A070"/>
      <w:sz w:val="20"/>
      <w:szCs w:val="24"/>
    </w:rPr>
  </w:style>
  <w:style w:type="character" w:customStyle="1" w:styleId="BaseNTok">
    <w:name w:val="BaseNTok"/>
    <w:basedOn w:val="VerbatimChar"/>
    <w:rsid w:val="00C25CD5"/>
    <w:rPr>
      <w:rFonts w:ascii="Consolas" w:hAnsi="Consolas"/>
      <w:color w:val="40A070"/>
      <w:sz w:val="20"/>
      <w:szCs w:val="24"/>
    </w:rPr>
  </w:style>
  <w:style w:type="character" w:customStyle="1" w:styleId="FloatTok">
    <w:name w:val="FloatTok"/>
    <w:basedOn w:val="VerbatimChar"/>
    <w:rsid w:val="00C25CD5"/>
    <w:rPr>
      <w:rFonts w:ascii="Consolas" w:hAnsi="Consolas"/>
      <w:color w:val="40A070"/>
      <w:sz w:val="20"/>
      <w:szCs w:val="24"/>
    </w:rPr>
  </w:style>
  <w:style w:type="character" w:customStyle="1" w:styleId="CharTok">
    <w:name w:val="CharTok"/>
    <w:basedOn w:val="VerbatimChar"/>
    <w:rsid w:val="00C25CD5"/>
    <w:rPr>
      <w:rFonts w:ascii="Consolas" w:hAnsi="Consolas"/>
      <w:color w:val="4070A0"/>
      <w:sz w:val="20"/>
      <w:szCs w:val="24"/>
    </w:rPr>
  </w:style>
  <w:style w:type="character" w:customStyle="1" w:styleId="StringTok">
    <w:name w:val="StringTok"/>
    <w:basedOn w:val="VerbatimChar"/>
    <w:rsid w:val="00C25CD5"/>
    <w:rPr>
      <w:rFonts w:ascii="Consolas" w:hAnsi="Consolas"/>
      <w:color w:val="4070A0"/>
      <w:sz w:val="20"/>
      <w:szCs w:val="24"/>
    </w:rPr>
  </w:style>
  <w:style w:type="character" w:customStyle="1" w:styleId="CommentTok">
    <w:name w:val="CommentTok"/>
    <w:basedOn w:val="VerbatimChar"/>
    <w:rsid w:val="00C25CD5"/>
    <w:rPr>
      <w:rFonts w:ascii="Consolas" w:hAnsi="Consolas"/>
      <w:i/>
      <w:color w:val="60A0B0"/>
      <w:sz w:val="20"/>
      <w:szCs w:val="24"/>
    </w:rPr>
  </w:style>
  <w:style w:type="character" w:customStyle="1" w:styleId="OtherTok">
    <w:name w:val="OtherTok"/>
    <w:basedOn w:val="VerbatimChar"/>
    <w:rsid w:val="00C25CD5"/>
    <w:rPr>
      <w:rFonts w:ascii="Consolas" w:hAnsi="Consolas"/>
      <w:color w:val="007020"/>
      <w:sz w:val="20"/>
      <w:szCs w:val="24"/>
    </w:rPr>
  </w:style>
  <w:style w:type="character" w:customStyle="1" w:styleId="AlertTok">
    <w:name w:val="AlertTok"/>
    <w:basedOn w:val="VerbatimChar"/>
    <w:rsid w:val="00C25CD5"/>
    <w:rPr>
      <w:rFonts w:ascii="Consolas" w:hAnsi="Consolas"/>
      <w:b/>
      <w:color w:val="FF0000"/>
      <w:sz w:val="20"/>
      <w:szCs w:val="24"/>
    </w:rPr>
  </w:style>
  <w:style w:type="character" w:customStyle="1" w:styleId="FunctionTok">
    <w:name w:val="FunctionTok"/>
    <w:basedOn w:val="VerbatimChar"/>
    <w:rsid w:val="00C25CD5"/>
    <w:rPr>
      <w:rFonts w:ascii="Consolas" w:hAnsi="Consolas"/>
      <w:color w:val="06287E"/>
      <w:sz w:val="20"/>
      <w:szCs w:val="24"/>
    </w:rPr>
  </w:style>
  <w:style w:type="character" w:customStyle="1" w:styleId="RegionMarkerTok">
    <w:name w:val="RegionMarkerTok"/>
    <w:basedOn w:val="VerbatimChar"/>
    <w:rsid w:val="00C25CD5"/>
    <w:rPr>
      <w:rFonts w:ascii="Consolas" w:hAnsi="Consolas"/>
      <w:sz w:val="20"/>
      <w:szCs w:val="24"/>
    </w:rPr>
  </w:style>
  <w:style w:type="character" w:customStyle="1" w:styleId="ErrorTok">
    <w:name w:val="ErrorTok"/>
    <w:basedOn w:val="VerbatimChar"/>
    <w:rsid w:val="00C25CD5"/>
    <w:rPr>
      <w:rFonts w:ascii="Consolas" w:hAnsi="Consolas"/>
      <w:b/>
      <w:color w:val="FF0000"/>
      <w:sz w:val="20"/>
      <w:szCs w:val="24"/>
    </w:rPr>
  </w:style>
  <w:style w:type="character" w:customStyle="1" w:styleId="NormalTok">
    <w:name w:val="NormalTok"/>
    <w:basedOn w:val="VerbatimChar"/>
    <w:rsid w:val="00C25CD5"/>
    <w:rPr>
      <w:rFonts w:ascii="Consolas" w:hAnsi="Consolas"/>
      <w:sz w:val="20"/>
      <w:szCs w:val="24"/>
    </w:rPr>
  </w:style>
  <w:style w:type="character" w:customStyle="1" w:styleId="KeywordTok1">
    <w:name w:val="KeywordTok1"/>
    <w:basedOn w:val="VerbatimChar"/>
    <w:rsid w:val="00C25CD5"/>
    <w:rPr>
      <w:rFonts w:ascii="Consolas" w:hAnsi="Consolas"/>
      <w:b/>
      <w:color w:val="007020"/>
      <w:sz w:val="20"/>
      <w:szCs w:val="24"/>
    </w:rPr>
  </w:style>
  <w:style w:type="character" w:customStyle="1" w:styleId="DataTypeTok1">
    <w:name w:val="DataTypeTok1"/>
    <w:basedOn w:val="VerbatimChar"/>
    <w:rsid w:val="00C25CD5"/>
    <w:rPr>
      <w:rFonts w:ascii="Consolas" w:hAnsi="Consolas"/>
      <w:color w:val="902000"/>
      <w:sz w:val="20"/>
      <w:szCs w:val="24"/>
    </w:rPr>
  </w:style>
  <w:style w:type="character" w:customStyle="1" w:styleId="DecValTok1">
    <w:name w:val="DecValTok1"/>
    <w:basedOn w:val="VerbatimChar"/>
    <w:rsid w:val="00C25CD5"/>
    <w:rPr>
      <w:rFonts w:ascii="Consolas" w:hAnsi="Consolas"/>
      <w:color w:val="40A070"/>
      <w:sz w:val="20"/>
      <w:szCs w:val="24"/>
    </w:rPr>
  </w:style>
  <w:style w:type="character" w:customStyle="1" w:styleId="BaseNTok1">
    <w:name w:val="BaseNTok1"/>
    <w:basedOn w:val="VerbatimChar"/>
    <w:rsid w:val="00C25CD5"/>
    <w:rPr>
      <w:rFonts w:ascii="Consolas" w:hAnsi="Consolas"/>
      <w:color w:val="40A070"/>
      <w:sz w:val="20"/>
      <w:szCs w:val="24"/>
    </w:rPr>
  </w:style>
  <w:style w:type="character" w:customStyle="1" w:styleId="FloatTok1">
    <w:name w:val="FloatTok1"/>
    <w:basedOn w:val="VerbatimChar"/>
    <w:rsid w:val="00C25CD5"/>
    <w:rPr>
      <w:rFonts w:ascii="Consolas" w:hAnsi="Consolas"/>
      <w:color w:val="40A070"/>
      <w:sz w:val="20"/>
      <w:szCs w:val="24"/>
    </w:rPr>
  </w:style>
  <w:style w:type="character" w:customStyle="1" w:styleId="CharTok1">
    <w:name w:val="CharTok1"/>
    <w:basedOn w:val="VerbatimChar"/>
    <w:rsid w:val="00C25CD5"/>
    <w:rPr>
      <w:rFonts w:ascii="Consolas" w:hAnsi="Consolas"/>
      <w:color w:val="4070A0"/>
      <w:sz w:val="20"/>
      <w:szCs w:val="24"/>
    </w:rPr>
  </w:style>
  <w:style w:type="character" w:customStyle="1" w:styleId="StringTok1">
    <w:name w:val="StringTok1"/>
    <w:basedOn w:val="VerbatimChar"/>
    <w:rsid w:val="00C25CD5"/>
    <w:rPr>
      <w:rFonts w:ascii="Consolas" w:hAnsi="Consolas"/>
      <w:color w:val="4070A0"/>
      <w:sz w:val="20"/>
      <w:szCs w:val="24"/>
    </w:rPr>
  </w:style>
  <w:style w:type="character" w:customStyle="1" w:styleId="CommentTok1">
    <w:name w:val="CommentTok1"/>
    <w:basedOn w:val="VerbatimChar"/>
    <w:rsid w:val="00C25CD5"/>
    <w:rPr>
      <w:rFonts w:ascii="Consolas" w:hAnsi="Consolas"/>
      <w:i/>
      <w:color w:val="60A0B0"/>
      <w:sz w:val="20"/>
      <w:szCs w:val="24"/>
    </w:rPr>
  </w:style>
  <w:style w:type="character" w:customStyle="1" w:styleId="OtherTok1">
    <w:name w:val="OtherTok1"/>
    <w:basedOn w:val="VerbatimChar"/>
    <w:rsid w:val="00C25CD5"/>
    <w:rPr>
      <w:rFonts w:ascii="Consolas" w:hAnsi="Consolas"/>
      <w:color w:val="007020"/>
      <w:sz w:val="20"/>
      <w:szCs w:val="24"/>
    </w:rPr>
  </w:style>
  <w:style w:type="character" w:customStyle="1" w:styleId="AlertTok1">
    <w:name w:val="AlertTok1"/>
    <w:basedOn w:val="VerbatimChar"/>
    <w:rsid w:val="00C25CD5"/>
    <w:rPr>
      <w:rFonts w:ascii="Consolas" w:hAnsi="Consolas"/>
      <w:b/>
      <w:color w:val="FF0000"/>
      <w:sz w:val="20"/>
      <w:szCs w:val="24"/>
    </w:rPr>
  </w:style>
  <w:style w:type="character" w:customStyle="1" w:styleId="FunctionTok1">
    <w:name w:val="FunctionTok1"/>
    <w:basedOn w:val="VerbatimChar"/>
    <w:rsid w:val="00C25CD5"/>
    <w:rPr>
      <w:rFonts w:ascii="Consolas" w:hAnsi="Consolas"/>
      <w:color w:val="06287E"/>
      <w:sz w:val="20"/>
      <w:szCs w:val="24"/>
    </w:rPr>
  </w:style>
  <w:style w:type="character" w:customStyle="1" w:styleId="RegionMarkerTok1">
    <w:name w:val="RegionMarkerTok1"/>
    <w:basedOn w:val="VerbatimChar"/>
    <w:rsid w:val="00C25CD5"/>
    <w:rPr>
      <w:rFonts w:ascii="Consolas" w:hAnsi="Consolas"/>
      <w:sz w:val="20"/>
      <w:szCs w:val="24"/>
    </w:rPr>
  </w:style>
  <w:style w:type="character" w:customStyle="1" w:styleId="ErrorTok1">
    <w:name w:val="ErrorTok1"/>
    <w:basedOn w:val="VerbatimChar"/>
    <w:rsid w:val="00C25CD5"/>
    <w:rPr>
      <w:rFonts w:ascii="Consolas" w:hAnsi="Consolas"/>
      <w:b/>
      <w:color w:val="FF0000"/>
      <w:sz w:val="20"/>
      <w:szCs w:val="24"/>
    </w:rPr>
  </w:style>
  <w:style w:type="character" w:customStyle="1" w:styleId="NormalTok1">
    <w:name w:val="NormalTok1"/>
    <w:basedOn w:val="VerbatimChar"/>
    <w:rsid w:val="00C25CD5"/>
    <w:rPr>
      <w:rFonts w:ascii="Consolas" w:hAnsi="Consolas"/>
      <w:sz w:val="20"/>
      <w:szCs w:val="24"/>
    </w:rPr>
  </w:style>
  <w:style w:type="character" w:styleId="CommentReference">
    <w:name w:val="annotation reference"/>
    <w:basedOn w:val="DefaultParagraphFont"/>
    <w:semiHidden/>
    <w:unhideWhenUsed/>
    <w:rsid w:val="00C25CD5"/>
    <w:rPr>
      <w:sz w:val="16"/>
      <w:szCs w:val="16"/>
    </w:rPr>
  </w:style>
  <w:style w:type="paragraph" w:styleId="CommentText">
    <w:name w:val="annotation text"/>
    <w:basedOn w:val="Normal"/>
    <w:link w:val="CommentTextChar"/>
    <w:semiHidden/>
    <w:unhideWhenUsed/>
    <w:rsid w:val="00C25CD5"/>
    <w:pPr>
      <w:spacing w:before="180" w:after="180" w:line="240" w:lineRule="auto"/>
    </w:pPr>
    <w:rPr>
      <w:szCs w:val="20"/>
    </w:rPr>
  </w:style>
  <w:style w:type="character" w:customStyle="1" w:styleId="CommentTextChar">
    <w:name w:val="Comment Text Char"/>
    <w:basedOn w:val="DefaultParagraphFont"/>
    <w:link w:val="CommentText"/>
    <w:semiHidden/>
    <w:rsid w:val="00C25CD5"/>
    <w:rPr>
      <w:sz w:val="20"/>
      <w:szCs w:val="20"/>
    </w:rPr>
  </w:style>
  <w:style w:type="paragraph" w:styleId="CommentSubject">
    <w:name w:val="annotation subject"/>
    <w:basedOn w:val="CommentText"/>
    <w:next w:val="CommentText"/>
    <w:link w:val="CommentSubjectChar"/>
    <w:semiHidden/>
    <w:unhideWhenUsed/>
    <w:rsid w:val="00C25CD5"/>
    <w:rPr>
      <w:b/>
      <w:bCs/>
    </w:rPr>
  </w:style>
  <w:style w:type="character" w:customStyle="1" w:styleId="CommentSubjectChar">
    <w:name w:val="Comment Subject Char"/>
    <w:basedOn w:val="CommentTextChar"/>
    <w:link w:val="CommentSubject"/>
    <w:semiHidden/>
    <w:rsid w:val="00C25CD5"/>
    <w:rPr>
      <w:b/>
      <w:bCs/>
      <w:sz w:val="20"/>
      <w:szCs w:val="20"/>
    </w:rPr>
  </w:style>
  <w:style w:type="paragraph" w:styleId="BalloonText">
    <w:name w:val="Balloon Text"/>
    <w:basedOn w:val="Normal"/>
    <w:link w:val="BalloonTextChar"/>
    <w:semiHidden/>
    <w:unhideWhenUsed/>
    <w:rsid w:val="00C25C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5CD5"/>
    <w:rPr>
      <w:rFonts w:ascii="Segoe UI" w:hAnsi="Segoe UI" w:cs="Segoe UI"/>
      <w:sz w:val="18"/>
      <w:szCs w:val="18"/>
    </w:rPr>
  </w:style>
  <w:style w:type="paragraph" w:styleId="TOC3">
    <w:name w:val="toc 3"/>
    <w:basedOn w:val="Normal"/>
    <w:next w:val="Normal"/>
    <w:autoRedefine/>
    <w:uiPriority w:val="39"/>
    <w:unhideWhenUsed/>
    <w:rsid w:val="00C25CD5"/>
    <w:pPr>
      <w:tabs>
        <w:tab w:val="right" w:leader="dot" w:pos="9350"/>
      </w:tabs>
      <w:spacing w:before="180" w:after="100" w:line="240" w:lineRule="auto"/>
      <w:ind w:left="180"/>
    </w:pPr>
    <w:rPr>
      <w:szCs w:val="24"/>
    </w:rPr>
  </w:style>
  <w:style w:type="character" w:styleId="LineNumber">
    <w:name w:val="line number"/>
    <w:basedOn w:val="DefaultParagraphFont"/>
    <w:semiHidden/>
    <w:unhideWhenUsed/>
    <w:rsid w:val="00C25CD5"/>
  </w:style>
  <w:style w:type="paragraph" w:styleId="NormalWeb">
    <w:name w:val="Normal (Web)"/>
    <w:basedOn w:val="Normal"/>
    <w:uiPriority w:val="99"/>
    <w:unhideWhenUsed/>
    <w:rsid w:val="00C25CD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A7858"/>
    <w:rPr>
      <w:b/>
      <w:bCs/>
    </w:rPr>
  </w:style>
  <w:style w:type="character" w:styleId="FootnoteReference">
    <w:name w:val="footnote reference"/>
    <w:basedOn w:val="DefaultParagraphFont"/>
    <w:uiPriority w:val="99"/>
    <w:unhideWhenUsed/>
    <w:qFormat/>
    <w:rsid w:val="00C25CD5"/>
    <w:rPr>
      <w:vertAlign w:val="superscript"/>
    </w:rPr>
  </w:style>
  <w:style w:type="paragraph" w:customStyle="1" w:styleId="Default">
    <w:name w:val="Default"/>
    <w:rsid w:val="00C25CD5"/>
    <w:pPr>
      <w:autoSpaceDE w:val="0"/>
      <w:autoSpaceDN w:val="0"/>
      <w:adjustRightInd w:val="0"/>
      <w:spacing w:after="0" w:line="240" w:lineRule="auto"/>
    </w:pPr>
    <w:rPr>
      <w:rFonts w:ascii="Arial" w:hAnsi="Arial" w:cs="Arial"/>
      <w:color w:val="000000"/>
      <w:sz w:val="24"/>
      <w:szCs w:val="24"/>
    </w:rPr>
  </w:style>
  <w:style w:type="paragraph" w:styleId="TOC4">
    <w:name w:val="toc 4"/>
    <w:basedOn w:val="Normal"/>
    <w:next w:val="Normal"/>
    <w:autoRedefine/>
    <w:uiPriority w:val="39"/>
    <w:unhideWhenUsed/>
    <w:rsid w:val="00C25CD5"/>
    <w:pPr>
      <w:spacing w:after="100" w:line="259" w:lineRule="auto"/>
      <w:ind w:left="660"/>
    </w:pPr>
    <w:rPr>
      <w:sz w:val="22"/>
    </w:rPr>
  </w:style>
  <w:style w:type="paragraph" w:styleId="TOC5">
    <w:name w:val="toc 5"/>
    <w:basedOn w:val="Normal"/>
    <w:next w:val="Normal"/>
    <w:autoRedefine/>
    <w:uiPriority w:val="39"/>
    <w:unhideWhenUsed/>
    <w:rsid w:val="00C25CD5"/>
    <w:pPr>
      <w:spacing w:after="100" w:line="259" w:lineRule="auto"/>
      <w:ind w:left="880"/>
    </w:pPr>
    <w:rPr>
      <w:sz w:val="22"/>
    </w:rPr>
  </w:style>
  <w:style w:type="paragraph" w:styleId="TOC6">
    <w:name w:val="toc 6"/>
    <w:basedOn w:val="Normal"/>
    <w:next w:val="Normal"/>
    <w:autoRedefine/>
    <w:uiPriority w:val="39"/>
    <w:unhideWhenUsed/>
    <w:rsid w:val="00C25CD5"/>
    <w:pPr>
      <w:spacing w:after="100" w:line="259" w:lineRule="auto"/>
      <w:ind w:left="1100"/>
    </w:pPr>
    <w:rPr>
      <w:sz w:val="22"/>
    </w:rPr>
  </w:style>
  <w:style w:type="paragraph" w:styleId="TOC7">
    <w:name w:val="toc 7"/>
    <w:basedOn w:val="Normal"/>
    <w:next w:val="Normal"/>
    <w:autoRedefine/>
    <w:uiPriority w:val="39"/>
    <w:unhideWhenUsed/>
    <w:rsid w:val="00C25CD5"/>
    <w:pPr>
      <w:spacing w:after="100" w:line="259" w:lineRule="auto"/>
      <w:ind w:left="1320"/>
    </w:pPr>
    <w:rPr>
      <w:sz w:val="22"/>
    </w:rPr>
  </w:style>
  <w:style w:type="paragraph" w:styleId="TOC8">
    <w:name w:val="toc 8"/>
    <w:basedOn w:val="Normal"/>
    <w:next w:val="Normal"/>
    <w:autoRedefine/>
    <w:uiPriority w:val="39"/>
    <w:unhideWhenUsed/>
    <w:rsid w:val="00C25CD5"/>
    <w:pPr>
      <w:spacing w:after="100" w:line="259" w:lineRule="auto"/>
      <w:ind w:left="1540"/>
    </w:pPr>
    <w:rPr>
      <w:sz w:val="22"/>
    </w:rPr>
  </w:style>
  <w:style w:type="paragraph" w:styleId="TOC9">
    <w:name w:val="toc 9"/>
    <w:basedOn w:val="Normal"/>
    <w:next w:val="Normal"/>
    <w:autoRedefine/>
    <w:uiPriority w:val="39"/>
    <w:unhideWhenUsed/>
    <w:rsid w:val="00C25CD5"/>
    <w:pPr>
      <w:spacing w:after="100" w:line="259" w:lineRule="auto"/>
      <w:ind w:left="1760"/>
    </w:pPr>
    <w:rPr>
      <w:sz w:val="22"/>
    </w:rPr>
  </w:style>
  <w:style w:type="character" w:customStyle="1" w:styleId="apple-tab-span">
    <w:name w:val="apple-tab-span"/>
    <w:basedOn w:val="DefaultParagraphFont"/>
    <w:rsid w:val="00C25CD5"/>
  </w:style>
  <w:style w:type="character" w:styleId="IntenseEmphasis">
    <w:name w:val="Intense Emphasis"/>
    <w:basedOn w:val="DefaultParagraphFont"/>
    <w:uiPriority w:val="21"/>
    <w:rsid w:val="000A7858"/>
    <w:rPr>
      <w:rFonts w:ascii="Arial" w:hAnsi="Arial"/>
      <w:b/>
      <w:i/>
      <w:color w:val="DAAE28" w:themeColor="accent1"/>
      <w:sz w:val="24"/>
    </w:rPr>
  </w:style>
  <w:style w:type="character" w:styleId="BookTitle">
    <w:name w:val="Book Title"/>
    <w:basedOn w:val="DefaultParagraphFont"/>
    <w:uiPriority w:val="33"/>
    <w:qFormat/>
    <w:rsid w:val="000A7858"/>
    <w:rPr>
      <w:rFonts w:ascii="Arial" w:hAnsi="Arial"/>
      <w:b/>
      <w:bCs/>
      <w:i/>
      <w:iCs/>
      <w:spacing w:val="5"/>
    </w:rPr>
  </w:style>
  <w:style w:type="character" w:customStyle="1" w:styleId="Heading6Char">
    <w:name w:val="Heading 6 Char"/>
    <w:basedOn w:val="DefaultParagraphFont"/>
    <w:link w:val="Heading6"/>
    <w:uiPriority w:val="9"/>
    <w:rsid w:val="009E5EBE"/>
    <w:rPr>
      <w:rFonts w:asciiTheme="majorHAnsi" w:eastAsiaTheme="majorEastAsia" w:hAnsiTheme="majorHAnsi" w:cstheme="majorBidi"/>
      <w:i/>
      <w:iCs/>
      <w:sz w:val="24"/>
      <w:szCs w:val="24"/>
    </w:rPr>
  </w:style>
  <w:style w:type="character" w:customStyle="1" w:styleId="Heading7Char">
    <w:name w:val="Heading 7 Char"/>
    <w:basedOn w:val="DefaultParagraphFont"/>
    <w:link w:val="Heading7"/>
    <w:uiPriority w:val="9"/>
    <w:semiHidden/>
    <w:rsid w:val="000A7858"/>
    <w:rPr>
      <w:rFonts w:asciiTheme="majorHAnsi" w:eastAsiaTheme="majorEastAsia" w:hAnsiTheme="majorHAnsi" w:cstheme="majorBidi"/>
      <w:i/>
      <w:iCs/>
      <w:color w:val="6D5613" w:themeColor="accent1" w:themeShade="7F"/>
      <w:sz w:val="20"/>
    </w:rPr>
  </w:style>
  <w:style w:type="character" w:customStyle="1" w:styleId="Heading8Char">
    <w:name w:val="Heading 8 Char"/>
    <w:basedOn w:val="DefaultParagraphFont"/>
    <w:link w:val="Heading8"/>
    <w:uiPriority w:val="9"/>
    <w:rsid w:val="000A785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0A7858"/>
    <w:rPr>
      <w:rFonts w:asciiTheme="majorHAnsi" w:eastAsiaTheme="majorEastAsia" w:hAnsiTheme="majorHAnsi" w:cstheme="majorBidi"/>
      <w:i/>
      <w:iCs/>
      <w:color w:val="272727" w:themeColor="text1" w:themeTint="D8"/>
      <w:sz w:val="21"/>
      <w:szCs w:val="21"/>
    </w:rPr>
  </w:style>
  <w:style w:type="paragraph" w:customStyle="1" w:styleId="Intra-sectionheader">
    <w:name w:val="Intra-section header"/>
    <w:basedOn w:val="Normal"/>
    <w:link w:val="Intra-sectionheaderChar"/>
    <w:qFormat/>
    <w:rsid w:val="00193D61"/>
    <w:pPr>
      <w:spacing w:before="120" w:after="0" w:line="360" w:lineRule="auto"/>
    </w:pPr>
    <w:rPr>
      <w:rFonts w:ascii="Century Gothic" w:hAnsi="Century Gothic"/>
      <w:color w:val="067198" w:themeColor="accent5"/>
      <w:spacing w:val="0"/>
      <w:kern w:val="0"/>
      <w:sz w:val="24"/>
    </w:rPr>
  </w:style>
  <w:style w:type="character" w:customStyle="1" w:styleId="Intra-sectionheaderChar">
    <w:name w:val="Intra-section header Char"/>
    <w:basedOn w:val="DefaultParagraphFont"/>
    <w:link w:val="Intra-sectionheader"/>
    <w:rsid w:val="00193D61"/>
    <w:rPr>
      <w:rFonts w:ascii="Century Gothic" w:hAnsi="Century Gothic"/>
      <w:color w:val="067198" w:themeColor="accent5"/>
      <w:sz w:val="24"/>
    </w:rPr>
  </w:style>
  <w:style w:type="paragraph" w:styleId="NoSpacing">
    <w:name w:val="No Spacing"/>
    <w:uiPriority w:val="1"/>
    <w:qFormat/>
    <w:rsid w:val="009E5EBE"/>
    <w:pPr>
      <w:spacing w:after="0" w:line="240" w:lineRule="auto"/>
    </w:pPr>
    <w:rPr>
      <w:rFonts w:ascii="Franklin Gothic Book" w:hAnsi="Franklin Gothic Book"/>
      <w:spacing w:val="2"/>
      <w:kern w:val="21"/>
      <w:sz w:val="21"/>
    </w:rPr>
  </w:style>
  <w:style w:type="paragraph" w:customStyle="1" w:styleId="Tableinstructions">
    <w:name w:val="Table instructions"/>
    <w:basedOn w:val="NoSpacing"/>
    <w:link w:val="TableinstructionsChar"/>
    <w:uiPriority w:val="6"/>
    <w:rsid w:val="00A40B7F"/>
    <w:pPr>
      <w:autoSpaceDE w:val="0"/>
      <w:autoSpaceDN w:val="0"/>
      <w:adjustRightInd w:val="0"/>
      <w:spacing w:line="288" w:lineRule="auto"/>
    </w:pPr>
    <w:rPr>
      <w:rFonts w:eastAsia="MS Mincho" w:cs="Times New Roman"/>
      <w:i/>
      <w:iCs/>
      <w:color w:val="575958" w:themeColor="text2" w:themeTint="F2"/>
      <w:szCs w:val="24"/>
      <w:lang w:val="en-GB"/>
    </w:rPr>
  </w:style>
  <w:style w:type="character" w:customStyle="1" w:styleId="TableinstructionsChar">
    <w:name w:val="Table instructions Char"/>
    <w:basedOn w:val="DefaultParagraphFont"/>
    <w:link w:val="Tableinstructions"/>
    <w:uiPriority w:val="6"/>
    <w:rsid w:val="00A40B7F"/>
    <w:rPr>
      <w:rFonts w:ascii="Arial" w:eastAsia="MS Mincho" w:hAnsi="Arial" w:cs="Times New Roman"/>
      <w:i/>
      <w:iCs/>
      <w:color w:val="575958" w:themeColor="text2" w:themeTint="F2"/>
      <w:sz w:val="20"/>
      <w:szCs w:val="24"/>
      <w:lang w:val="en-GB"/>
    </w:rPr>
  </w:style>
  <w:style w:type="table" w:styleId="GridTable4-Accent1">
    <w:name w:val="Grid Table 4 Accent 1"/>
    <w:basedOn w:val="TableNormal"/>
    <w:uiPriority w:val="49"/>
    <w:rsid w:val="008D15C4"/>
    <w:pPr>
      <w:spacing w:after="0" w:line="240" w:lineRule="auto"/>
    </w:pPr>
    <w:tblPr>
      <w:tblStyleRowBandSize w:val="1"/>
      <w:tblStyleColBandSize w:val="1"/>
      <w:tblBorders>
        <w:top w:val="single" w:sz="4" w:space="0" w:color="E8CD7D" w:themeColor="accent1" w:themeTint="99"/>
        <w:left w:val="single" w:sz="4" w:space="0" w:color="E8CD7D" w:themeColor="accent1" w:themeTint="99"/>
        <w:bottom w:val="single" w:sz="4" w:space="0" w:color="E8CD7D" w:themeColor="accent1" w:themeTint="99"/>
        <w:right w:val="single" w:sz="4" w:space="0" w:color="E8CD7D" w:themeColor="accent1" w:themeTint="99"/>
        <w:insideH w:val="single" w:sz="4" w:space="0" w:color="E8CD7D" w:themeColor="accent1" w:themeTint="99"/>
        <w:insideV w:val="single" w:sz="4" w:space="0" w:color="E8CD7D" w:themeColor="accent1" w:themeTint="99"/>
      </w:tblBorders>
    </w:tblPr>
    <w:tblStylePr w:type="firstRow">
      <w:rPr>
        <w:b/>
        <w:bCs/>
        <w:color w:val="FFFFFF" w:themeColor="background1"/>
      </w:rPr>
      <w:tblPr/>
      <w:tcPr>
        <w:tcBorders>
          <w:top w:val="single" w:sz="4" w:space="0" w:color="DAAE28" w:themeColor="accent1"/>
          <w:left w:val="single" w:sz="4" w:space="0" w:color="DAAE28" w:themeColor="accent1"/>
          <w:bottom w:val="single" w:sz="4" w:space="0" w:color="DAAE28" w:themeColor="accent1"/>
          <w:right w:val="single" w:sz="4" w:space="0" w:color="DAAE28" w:themeColor="accent1"/>
          <w:insideH w:val="nil"/>
          <w:insideV w:val="nil"/>
        </w:tcBorders>
        <w:shd w:val="clear" w:color="auto" w:fill="DAAE28" w:themeFill="accent1"/>
      </w:tcPr>
    </w:tblStylePr>
    <w:tblStylePr w:type="lastRow">
      <w:rPr>
        <w:b/>
        <w:bCs/>
      </w:rPr>
      <w:tblPr/>
      <w:tcPr>
        <w:tcBorders>
          <w:top w:val="double" w:sz="4" w:space="0" w:color="DAAE28" w:themeColor="accent1"/>
        </w:tcBorders>
      </w:tcPr>
    </w:tblStylePr>
    <w:tblStylePr w:type="firstCol">
      <w:rPr>
        <w:b/>
        <w:bCs/>
      </w:rPr>
    </w:tblStylePr>
    <w:tblStylePr w:type="lastCol">
      <w:rPr>
        <w:b/>
        <w:bCs/>
      </w:rPr>
    </w:tblStylePr>
    <w:tblStylePr w:type="band1Vert">
      <w:tblPr/>
      <w:tcPr>
        <w:shd w:val="clear" w:color="auto" w:fill="F7EED3" w:themeFill="accent1" w:themeFillTint="33"/>
      </w:tcPr>
    </w:tblStylePr>
    <w:tblStylePr w:type="band1Horz">
      <w:tblPr/>
      <w:tcPr>
        <w:shd w:val="clear" w:color="auto" w:fill="F7EED3" w:themeFill="accent1" w:themeFillTint="33"/>
      </w:tcPr>
    </w:tblStylePr>
  </w:style>
  <w:style w:type="table" w:styleId="TableGrid">
    <w:name w:val="Table Grid"/>
    <w:basedOn w:val="TableNormal"/>
    <w:uiPriority w:val="39"/>
    <w:rsid w:val="00375E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foreObject">
    <w:name w:val="Before Object"/>
    <w:basedOn w:val="Normal"/>
    <w:uiPriority w:val="4"/>
    <w:rsid w:val="00375E12"/>
    <w:pPr>
      <w:autoSpaceDE w:val="0"/>
      <w:autoSpaceDN w:val="0"/>
      <w:adjustRightInd w:val="0"/>
      <w:spacing w:before="240" w:after="120" w:line="288" w:lineRule="auto"/>
      <w:ind w:left="720"/>
    </w:pPr>
    <w:rPr>
      <w:rFonts w:eastAsia="MS Mincho" w:cs="Times New Roman"/>
      <w:i/>
      <w:iCs/>
      <w:color w:val="766A62"/>
      <w:szCs w:val="24"/>
      <w:lang w:val="en-GB"/>
      <w14:textFill>
        <w14:solidFill>
          <w14:srgbClr w14:val="766A62">
            <w14:lumMod w14:val="95000"/>
            <w14:lumOff w14:val="5000"/>
          </w14:srgbClr>
        </w14:solidFill>
      </w14:textFill>
    </w:rPr>
  </w:style>
  <w:style w:type="paragraph" w:customStyle="1" w:styleId="Instruction">
    <w:name w:val="Instruction"/>
    <w:basedOn w:val="NoSpacing"/>
    <w:uiPriority w:val="3"/>
    <w:qFormat/>
    <w:rsid w:val="005E3815"/>
    <w:pPr>
      <w:autoSpaceDE w:val="0"/>
      <w:autoSpaceDN w:val="0"/>
      <w:adjustRightInd w:val="0"/>
      <w:spacing w:before="160" w:line="312" w:lineRule="auto"/>
      <w:ind w:left="720"/>
    </w:pPr>
    <w:rPr>
      <w:rFonts w:eastAsia="MS Mincho" w:cs="Times New Roman"/>
      <w:i/>
      <w:iCs/>
      <w:color w:val="4F5150"/>
      <w:szCs w:val="24"/>
      <w:lang w:val="en-GB"/>
    </w:rPr>
  </w:style>
  <w:style w:type="paragraph" w:customStyle="1" w:styleId="Bullets">
    <w:name w:val="Bullets"/>
    <w:basedOn w:val="BeforeObject"/>
    <w:autoRedefine/>
    <w:uiPriority w:val="5"/>
    <w:rsid w:val="00340A18"/>
    <w:pPr>
      <w:numPr>
        <w:numId w:val="3"/>
      </w:numPr>
      <w:spacing w:before="120" w:after="0"/>
    </w:pPr>
    <w:rPr>
      <w:color w:val="4F5150" w:themeColor="text2"/>
      <w14:textFill>
        <w14:solidFill>
          <w14:schemeClr w14:val="tx2">
            <w14:lumMod w14:val="95000"/>
            <w14:lumOff w14:val="5000"/>
            <w14:lumMod w14:val="95000"/>
            <w14:lumOff w14:val="5000"/>
          </w14:schemeClr>
        </w14:solidFill>
      </w14:textFill>
    </w:rPr>
  </w:style>
  <w:style w:type="paragraph" w:customStyle="1" w:styleId="Tableheader">
    <w:name w:val="Table header"/>
    <w:basedOn w:val="Normal"/>
    <w:link w:val="TableheaderChar"/>
    <w:uiPriority w:val="7"/>
    <w:rsid w:val="00675EF9"/>
    <w:pPr>
      <w:spacing w:after="120" w:line="288" w:lineRule="auto"/>
    </w:pPr>
    <w:rPr>
      <w:sz w:val="22"/>
    </w:rPr>
  </w:style>
  <w:style w:type="character" w:customStyle="1" w:styleId="TableheaderChar">
    <w:name w:val="Table header Char"/>
    <w:basedOn w:val="DefaultParagraphFont"/>
    <w:link w:val="Tableheader"/>
    <w:uiPriority w:val="7"/>
    <w:rsid w:val="00675EF9"/>
    <w:rPr>
      <w:rFonts w:ascii="Arial" w:hAnsi="Arial"/>
    </w:rPr>
  </w:style>
  <w:style w:type="paragraph" w:customStyle="1" w:styleId="Heading31">
    <w:name w:val="Heading 31"/>
    <w:basedOn w:val="Heading3"/>
    <w:link w:val="heading3Char0"/>
    <w:rsid w:val="00A226CA"/>
    <w:pPr>
      <w:numPr>
        <w:numId w:val="2"/>
      </w:numPr>
      <w:spacing w:before="0" w:after="240" w:line="288" w:lineRule="auto"/>
    </w:pPr>
    <w:rPr>
      <w:rFonts w:ascii="Arial Bold" w:eastAsia="Times New Roman" w:hAnsi="Arial Bold"/>
      <w:bCs/>
      <w:color w:val="005B82"/>
      <w:szCs w:val="20"/>
      <w:lang w:val="en-CA"/>
    </w:rPr>
  </w:style>
  <w:style w:type="character" w:customStyle="1" w:styleId="heading3Char0">
    <w:name w:val="heading 3 Char"/>
    <w:link w:val="Heading31"/>
    <w:rsid w:val="00A226CA"/>
    <w:rPr>
      <w:rFonts w:ascii="Arial Bold" w:eastAsia="Times New Roman" w:hAnsi="Arial Bold" w:cs="Arial"/>
      <w:b/>
      <w:bCs/>
      <w:color w:val="005B82"/>
      <w:sz w:val="20"/>
      <w:szCs w:val="20"/>
      <w:lang w:val="en-CA"/>
    </w:rPr>
  </w:style>
  <w:style w:type="paragraph" w:styleId="Revision">
    <w:name w:val="Revision"/>
    <w:hidden/>
    <w:semiHidden/>
    <w:rsid w:val="008143E6"/>
    <w:pPr>
      <w:spacing w:after="0" w:line="240" w:lineRule="auto"/>
    </w:pPr>
    <w:rPr>
      <w:rFonts w:ascii="Arial" w:hAnsi="Arial"/>
      <w:sz w:val="20"/>
    </w:rPr>
  </w:style>
  <w:style w:type="character" w:styleId="PlaceholderText">
    <w:name w:val="Placeholder Text"/>
    <w:basedOn w:val="DefaultParagraphFont"/>
    <w:uiPriority w:val="99"/>
    <w:semiHidden/>
    <w:rsid w:val="00A12A4B"/>
    <w:rPr>
      <w:color w:val="808080"/>
    </w:rPr>
  </w:style>
  <w:style w:type="paragraph" w:styleId="Caption">
    <w:name w:val="caption"/>
    <w:basedOn w:val="Normal"/>
    <w:next w:val="Normal"/>
    <w:uiPriority w:val="35"/>
    <w:unhideWhenUsed/>
    <w:qFormat/>
    <w:rsid w:val="000A7858"/>
    <w:pPr>
      <w:spacing w:after="200"/>
    </w:pPr>
    <w:rPr>
      <w:rFonts w:ascii="Century Gothic" w:hAnsi="Century Gothic"/>
      <w:b/>
      <w:iCs/>
      <w:color w:val="595959" w:themeColor="text1" w:themeTint="A6"/>
      <w:sz w:val="20"/>
      <w:szCs w:val="18"/>
    </w:rPr>
  </w:style>
  <w:style w:type="character" w:styleId="IntenseReference">
    <w:name w:val="Intense Reference"/>
    <w:basedOn w:val="DefaultParagraphFont"/>
    <w:uiPriority w:val="32"/>
    <w:qFormat/>
    <w:rsid w:val="009E5EBE"/>
    <w:rPr>
      <w:b/>
      <w:bCs/>
      <w:smallCaps/>
      <w:color w:val="DAAE28" w:themeColor="accent1"/>
      <w:spacing w:val="5"/>
    </w:rPr>
  </w:style>
  <w:style w:type="table" w:styleId="GridTable5Dark-Accent2">
    <w:name w:val="Grid Table 5 Dark Accent 2"/>
    <w:basedOn w:val="TableNormal"/>
    <w:uiPriority w:val="50"/>
    <w:rsid w:val="00F25B1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D4E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395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395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395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3957" w:themeFill="accent2"/>
      </w:tcPr>
    </w:tblStylePr>
    <w:tblStylePr w:type="band1Vert">
      <w:tblPr/>
      <w:tcPr>
        <w:shd w:val="clear" w:color="auto" w:fill="99A9CC" w:themeFill="accent2" w:themeFillTint="66"/>
      </w:tcPr>
    </w:tblStylePr>
    <w:tblStylePr w:type="band1Horz">
      <w:tblPr/>
      <w:tcPr>
        <w:shd w:val="clear" w:color="auto" w:fill="99A9CC" w:themeFill="accent2" w:themeFillTint="66"/>
      </w:tcPr>
    </w:tblStylePr>
  </w:style>
  <w:style w:type="paragraph" w:customStyle="1" w:styleId="Header2">
    <w:name w:val="Header 2"/>
    <w:basedOn w:val="Header1"/>
    <w:link w:val="Header2Char"/>
    <w:rsid w:val="000A7858"/>
    <w:pPr>
      <w:jc w:val="left"/>
    </w:pPr>
    <w:rPr>
      <w:rFonts w:ascii="Avenir LT Com 35 Light" w:hAnsi="Avenir LT Com 35 Light"/>
      <w:color w:val="000000" w:themeColor="text1"/>
      <w14:textFill>
        <w14:solidFill>
          <w14:schemeClr w14:val="tx1">
            <w14:lumMod w14:val="65000"/>
            <w14:lumOff w14:val="35000"/>
            <w14:lumMod w14:val="65000"/>
            <w14:lumOff w14:val="35000"/>
          </w14:schemeClr>
        </w14:solidFill>
      </w14:textFill>
    </w:rPr>
  </w:style>
  <w:style w:type="character" w:customStyle="1" w:styleId="Header2Char">
    <w:name w:val="Header 2 Char"/>
    <w:basedOn w:val="Header1Char"/>
    <w:link w:val="Header2"/>
    <w:rsid w:val="000A7858"/>
    <w:rPr>
      <w:rFonts w:ascii="Avenir LT Com 35 Light" w:hAnsi="Avenir LT Com 35 Light"/>
      <w:color w:val="000000" w:themeColor="text1"/>
      <w:spacing w:val="2"/>
      <w:kern w:val="21"/>
      <w:sz w:val="21"/>
      <w14:textFill>
        <w14:solidFill>
          <w14:schemeClr w14:val="tx1">
            <w14:lumMod w14:val="65000"/>
            <w14:lumOff w14:val="35000"/>
            <w14:lumMod w14:val="65000"/>
            <w14:lumOff w14:val="35000"/>
          </w14:schemeClr>
        </w14:solidFill>
      </w14:textFill>
    </w:rPr>
  </w:style>
  <w:style w:type="paragraph" w:customStyle="1" w:styleId="TOC">
    <w:name w:val="TOC"/>
    <w:basedOn w:val="Heading1"/>
    <w:link w:val="TOCChar"/>
    <w:qFormat/>
    <w:rsid w:val="000A7858"/>
    <w:pPr>
      <w:numPr>
        <w:numId w:val="0"/>
      </w:numPr>
      <w:pBdr>
        <w:bottom w:val="single" w:sz="4" w:space="1" w:color="2B3A57"/>
      </w:pBdr>
      <w:spacing w:after="360"/>
      <w:ind w:left="720" w:hanging="720"/>
    </w:pPr>
  </w:style>
  <w:style w:type="character" w:customStyle="1" w:styleId="TOCChar">
    <w:name w:val="TOC Char"/>
    <w:basedOn w:val="Heading1Char"/>
    <w:link w:val="TOC"/>
    <w:rsid w:val="000A7858"/>
    <w:rPr>
      <w:rFonts w:ascii="Century Gothic" w:eastAsiaTheme="majorEastAsia" w:hAnsi="Century Gothic" w:cstheme="majorBidi"/>
      <w:caps/>
      <w:color w:val="2B3A57"/>
      <w:kern w:val="21"/>
      <w:sz w:val="48"/>
      <w:szCs w:val="72"/>
    </w:rPr>
  </w:style>
  <w:style w:type="paragraph" w:customStyle="1" w:styleId="SDVFootnote">
    <w:name w:val="SDV Footnote"/>
    <w:basedOn w:val="Normal"/>
    <w:link w:val="SDVFootnoteChar"/>
    <w:qFormat/>
    <w:rsid w:val="000A7858"/>
    <w:pPr>
      <w:spacing w:after="0" w:line="240" w:lineRule="auto"/>
    </w:pPr>
    <w:rPr>
      <w:rFonts w:ascii="Calibri Light" w:hAnsi="Calibri Light"/>
      <w:color w:val="4F5150"/>
      <w:spacing w:val="0"/>
      <w:sz w:val="18"/>
      <w:szCs w:val="18"/>
    </w:rPr>
  </w:style>
  <w:style w:type="character" w:customStyle="1" w:styleId="SDVFootnoteChar">
    <w:name w:val="SDV Footnote Char"/>
    <w:basedOn w:val="DefaultParagraphFont"/>
    <w:link w:val="SDVFootnote"/>
    <w:rsid w:val="000A7858"/>
    <w:rPr>
      <w:rFonts w:ascii="Calibri Light" w:hAnsi="Calibri Light"/>
      <w:color w:val="4F5150"/>
      <w:kern w:val="21"/>
      <w:sz w:val="18"/>
      <w:szCs w:val="18"/>
    </w:rPr>
  </w:style>
  <w:style w:type="paragraph" w:customStyle="1" w:styleId="Heading3a">
    <w:name w:val="Heading 3a"/>
    <w:basedOn w:val="Heading3"/>
    <w:link w:val="Heading3aChar"/>
    <w:autoRedefine/>
    <w:qFormat/>
    <w:rsid w:val="000A7858"/>
    <w:pPr>
      <w:numPr>
        <w:ilvl w:val="0"/>
        <w:numId w:val="0"/>
      </w:numPr>
      <w:spacing w:before="0" w:after="160"/>
      <w:ind w:left="720" w:hanging="720"/>
    </w:pPr>
    <w:rPr>
      <w:rFonts w:ascii="Franklin Gothic Book" w:hAnsi="Franklin Gothic Book"/>
      <w:sz w:val="21"/>
    </w:rPr>
  </w:style>
  <w:style w:type="character" w:customStyle="1" w:styleId="Heading3aChar">
    <w:name w:val="Heading 3a Char"/>
    <w:basedOn w:val="Heading3Char"/>
    <w:link w:val="Heading3a"/>
    <w:rsid w:val="000A7858"/>
    <w:rPr>
      <w:rFonts w:ascii="Franklin Gothic Book" w:eastAsiaTheme="majorEastAsia" w:hAnsi="Franklin Gothic Book" w:cs="Arial"/>
      <w:color w:val="0685B2"/>
      <w:kern w:val="21"/>
      <w:sz w:val="21"/>
    </w:rPr>
  </w:style>
  <w:style w:type="paragraph" w:customStyle="1" w:styleId="BoxHeader">
    <w:name w:val="Box Header"/>
    <w:basedOn w:val="Caption"/>
    <w:qFormat/>
    <w:rsid w:val="000A7858"/>
    <w:rPr>
      <w:color w:val="404040" w:themeColor="text1" w:themeTint="BF"/>
    </w:rPr>
  </w:style>
  <w:style w:type="paragraph" w:customStyle="1" w:styleId="Heading3b">
    <w:name w:val="Heading 3b"/>
    <w:basedOn w:val="Heading3"/>
    <w:qFormat/>
    <w:rsid w:val="000A7858"/>
    <w:pPr>
      <w:numPr>
        <w:ilvl w:val="0"/>
        <w:numId w:val="32"/>
      </w:numPr>
    </w:pPr>
    <w:rPr>
      <w:b/>
      <w:sz w:val="26"/>
    </w:rPr>
  </w:style>
  <w:style w:type="paragraph" w:customStyle="1" w:styleId="Note">
    <w:name w:val="Note"/>
    <w:basedOn w:val="Normal"/>
    <w:link w:val="NoteChar"/>
    <w:qFormat/>
    <w:rsid w:val="000A7858"/>
    <w:pPr>
      <w:spacing w:before="180" w:after="240" w:line="264" w:lineRule="auto"/>
    </w:pPr>
    <w:rPr>
      <w:i/>
      <w:color w:val="4F5150" w:themeColor="text2"/>
    </w:rPr>
  </w:style>
  <w:style w:type="paragraph" w:customStyle="1" w:styleId="TableHeader0">
    <w:name w:val="Table Header"/>
    <w:basedOn w:val="Normal"/>
    <w:link w:val="TableHeaderChar0"/>
    <w:qFormat/>
    <w:rsid w:val="00BA3B0B"/>
    <w:pPr>
      <w:spacing w:before="120" w:after="120" w:line="240" w:lineRule="auto"/>
    </w:pPr>
    <w:rPr>
      <w:b/>
      <w:bCs/>
      <w:color w:val="FFFFFF" w:themeColor="background1"/>
      <w:spacing w:val="4"/>
    </w:rPr>
  </w:style>
  <w:style w:type="character" w:customStyle="1" w:styleId="TableHeaderChar0">
    <w:name w:val="Table Header Char"/>
    <w:basedOn w:val="DefaultParagraphFont"/>
    <w:link w:val="TableHeader0"/>
    <w:rsid w:val="00BA3B0B"/>
    <w:rPr>
      <w:rFonts w:ascii="Franklin Gothic Book" w:hAnsi="Franklin Gothic Book"/>
      <w:b/>
      <w:bCs/>
      <w:color w:val="FFFFFF" w:themeColor="background1"/>
      <w:spacing w:val="4"/>
      <w:kern w:val="21"/>
      <w:sz w:val="21"/>
    </w:rPr>
  </w:style>
  <w:style w:type="paragraph" w:customStyle="1" w:styleId="TableText">
    <w:name w:val="Table Text"/>
    <w:basedOn w:val="Normal"/>
    <w:link w:val="TableTextChar"/>
    <w:qFormat/>
    <w:rsid w:val="002A7473"/>
    <w:pPr>
      <w:spacing w:before="120" w:after="120" w:line="276" w:lineRule="auto"/>
    </w:pPr>
    <w:rPr>
      <w:rFonts w:cs="Arial"/>
      <w:color w:val="404040" w:themeColor="text1" w:themeTint="BF"/>
      <w:szCs w:val="19"/>
    </w:rPr>
  </w:style>
  <w:style w:type="character" w:customStyle="1" w:styleId="TableTextChar">
    <w:name w:val="Table Text Char"/>
    <w:basedOn w:val="DefaultParagraphFont"/>
    <w:link w:val="TableText"/>
    <w:rsid w:val="002A7473"/>
    <w:rPr>
      <w:rFonts w:ascii="Franklin Gothic Book" w:hAnsi="Franklin Gothic Book" w:cs="Arial"/>
      <w:color w:val="404040" w:themeColor="text1" w:themeTint="BF"/>
      <w:spacing w:val="2"/>
      <w:kern w:val="21"/>
      <w:sz w:val="21"/>
      <w:szCs w:val="19"/>
    </w:rPr>
  </w:style>
  <w:style w:type="paragraph" w:customStyle="1" w:styleId="Header1">
    <w:name w:val="Header 1"/>
    <w:basedOn w:val="Header"/>
    <w:link w:val="Header1Char"/>
    <w:rsid w:val="000A7858"/>
    <w:pPr>
      <w:pBdr>
        <w:bottom w:val="single" w:sz="4" w:space="1" w:color="A6A6A6" w:themeColor="background1" w:themeShade="A6"/>
      </w:pBdr>
      <w:jc w:val="right"/>
    </w:pPr>
    <w:rPr>
      <w:rFonts w:ascii="Century Gothic" w:hAnsi="Century Gothic"/>
      <w:color w:val="262626"/>
      <w14:textFill>
        <w14:solidFill>
          <w14:srgbClr w14:val="262626">
            <w14:lumMod w14:val="65000"/>
            <w14:lumOff w14:val="35000"/>
            <w14:lumMod w14:val="65000"/>
            <w14:lumOff w14:val="35000"/>
          </w14:srgbClr>
        </w14:solidFill>
      </w14:textFill>
    </w:rPr>
  </w:style>
  <w:style w:type="character" w:customStyle="1" w:styleId="Header1Char">
    <w:name w:val="Header 1 Char"/>
    <w:basedOn w:val="HeaderChar"/>
    <w:link w:val="Header1"/>
    <w:rsid w:val="000A7858"/>
    <w:rPr>
      <w:rFonts w:ascii="Century Gothic" w:hAnsi="Century Gothic"/>
      <w:color w:val="262626"/>
      <w:spacing w:val="2"/>
      <w:kern w:val="21"/>
      <w:sz w:val="21"/>
      <w14:textFill>
        <w14:solidFill>
          <w14:srgbClr w14:val="262626">
            <w14:lumMod w14:val="65000"/>
            <w14:lumOff w14:val="35000"/>
            <w14:lumMod w14:val="65000"/>
            <w14:lumOff w14:val="35000"/>
          </w14:srgbClr>
        </w14:solidFill>
      </w14:textFill>
    </w:rPr>
  </w:style>
  <w:style w:type="paragraph" w:customStyle="1" w:styleId="Notes">
    <w:name w:val="Notes"/>
    <w:basedOn w:val="Heading3a"/>
    <w:link w:val="NotesChar"/>
    <w:rsid w:val="000A7858"/>
    <w:pPr>
      <w:spacing w:before="180" w:after="300" w:line="240" w:lineRule="auto"/>
      <w:ind w:left="0" w:firstLine="0"/>
    </w:pPr>
    <w:rPr>
      <w:i/>
      <w:color w:val="4F5150"/>
      <w:spacing w:val="-4"/>
    </w:rPr>
  </w:style>
  <w:style w:type="character" w:customStyle="1" w:styleId="NotesChar">
    <w:name w:val="Notes Char"/>
    <w:basedOn w:val="Heading3aChar"/>
    <w:link w:val="Notes"/>
    <w:rsid w:val="000A7858"/>
    <w:rPr>
      <w:rFonts w:ascii="Franklin Gothic Book" w:eastAsiaTheme="majorEastAsia" w:hAnsi="Franklin Gothic Book" w:cs="Arial"/>
      <w:i/>
      <w:color w:val="4F5150"/>
      <w:spacing w:val="-4"/>
      <w:kern w:val="21"/>
      <w:sz w:val="21"/>
    </w:rPr>
  </w:style>
  <w:style w:type="table" w:customStyle="1" w:styleId="GridTable5Dark-Accent21">
    <w:name w:val="Grid Table 5 Dark - Accent 21"/>
    <w:basedOn w:val="TableNormal"/>
    <w:next w:val="GridTable5Dark-Accent2"/>
    <w:uiPriority w:val="50"/>
    <w:rsid w:val="0091104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D4E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395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395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395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3957" w:themeFill="accent2"/>
      </w:tcPr>
    </w:tblStylePr>
    <w:tblStylePr w:type="band1Vert">
      <w:tblPr/>
      <w:tcPr>
        <w:shd w:val="clear" w:color="auto" w:fill="99A9CC" w:themeFill="accent2" w:themeFillTint="66"/>
      </w:tcPr>
    </w:tblStylePr>
    <w:tblStylePr w:type="band1Horz">
      <w:tblPr/>
      <w:tcPr>
        <w:shd w:val="clear" w:color="auto" w:fill="99A9CC" w:themeFill="accent2" w:themeFillTint="66"/>
      </w:tcPr>
    </w:tblStylePr>
  </w:style>
  <w:style w:type="numbering" w:customStyle="1" w:styleId="Style1">
    <w:name w:val="Style1"/>
    <w:uiPriority w:val="99"/>
    <w:rsid w:val="006E37DA"/>
    <w:pPr>
      <w:numPr>
        <w:numId w:val="34"/>
      </w:numPr>
    </w:pPr>
  </w:style>
  <w:style w:type="paragraph" w:customStyle="1" w:styleId="TemplateTitle">
    <w:name w:val="Template Title"/>
    <w:basedOn w:val="Heading1"/>
    <w:link w:val="TemplateTitleChar"/>
    <w:qFormat/>
    <w:rsid w:val="00146584"/>
    <w:pPr>
      <w:numPr>
        <w:numId w:val="0"/>
      </w:numPr>
      <w:jc w:val="center"/>
    </w:pPr>
  </w:style>
  <w:style w:type="character" w:customStyle="1" w:styleId="TemplateTitleChar">
    <w:name w:val="Template Title Char"/>
    <w:basedOn w:val="Heading1Char"/>
    <w:link w:val="TemplateTitle"/>
    <w:rsid w:val="00146584"/>
    <w:rPr>
      <w:rFonts w:ascii="Century Gothic" w:eastAsiaTheme="majorEastAsia" w:hAnsi="Century Gothic" w:cstheme="majorBidi"/>
      <w:caps/>
      <w:color w:val="2B3A57"/>
      <w:kern w:val="21"/>
      <w:sz w:val="48"/>
      <w:szCs w:val="72"/>
    </w:rPr>
  </w:style>
  <w:style w:type="paragraph" w:customStyle="1" w:styleId="TemplateNote">
    <w:name w:val="Template Note"/>
    <w:basedOn w:val="Note"/>
    <w:link w:val="TemplateNoteChar"/>
    <w:qFormat/>
    <w:rsid w:val="005F692F"/>
    <w:pPr>
      <w:spacing w:after="300" w:line="240" w:lineRule="auto"/>
      <w:ind w:left="720"/>
    </w:pPr>
    <w:rPr>
      <w:i w:val="0"/>
      <w:color w:val="6C6E6D"/>
      <w:szCs w:val="21"/>
    </w:rPr>
  </w:style>
  <w:style w:type="character" w:customStyle="1" w:styleId="NoteChar">
    <w:name w:val="Note Char"/>
    <w:basedOn w:val="DefaultParagraphFont"/>
    <w:link w:val="Note"/>
    <w:rsid w:val="005F692F"/>
    <w:rPr>
      <w:rFonts w:ascii="Franklin Gothic Book" w:hAnsi="Franklin Gothic Book"/>
      <w:i/>
      <w:color w:val="4F5150" w:themeColor="text2"/>
      <w:spacing w:val="2"/>
      <w:kern w:val="21"/>
      <w:sz w:val="21"/>
    </w:rPr>
  </w:style>
  <w:style w:type="character" w:customStyle="1" w:styleId="TemplateNoteChar">
    <w:name w:val="Template Note Char"/>
    <w:basedOn w:val="NoteChar"/>
    <w:link w:val="TemplateNote"/>
    <w:rsid w:val="005F692F"/>
    <w:rPr>
      <w:rFonts w:ascii="Franklin Gothic Book" w:hAnsi="Franklin Gothic Book"/>
      <w:i w:val="0"/>
      <w:color w:val="6C6E6D"/>
      <w:spacing w:val="2"/>
      <w:kern w:val="2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7627311">
      <w:bodyDiv w:val="1"/>
      <w:marLeft w:val="0"/>
      <w:marRight w:val="0"/>
      <w:marTop w:val="0"/>
      <w:marBottom w:val="0"/>
      <w:divBdr>
        <w:top w:val="none" w:sz="0" w:space="0" w:color="auto"/>
        <w:left w:val="none" w:sz="0" w:space="0" w:color="auto"/>
        <w:bottom w:val="none" w:sz="0" w:space="0" w:color="auto"/>
        <w:right w:val="none" w:sz="0" w:space="0" w:color="auto"/>
      </w:divBdr>
    </w:div>
    <w:div w:id="2080056264">
      <w:bodyDiv w:val="1"/>
      <w:marLeft w:val="0"/>
      <w:marRight w:val="0"/>
      <w:marTop w:val="0"/>
      <w:marBottom w:val="0"/>
      <w:divBdr>
        <w:top w:val="none" w:sz="0" w:space="0" w:color="auto"/>
        <w:left w:val="none" w:sz="0" w:space="0" w:color="auto"/>
        <w:bottom w:val="none" w:sz="0" w:space="0" w:color="auto"/>
        <w:right w:val="none" w:sz="0" w:space="0" w:color="auto"/>
      </w:divBdr>
      <w:divsChild>
        <w:div w:id="1960454817">
          <w:marLeft w:val="202"/>
          <w:marRight w:val="0"/>
          <w:marTop w:val="0"/>
          <w:marBottom w:val="84"/>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Verra-SD VISta">
  <a:themeElements>
    <a:clrScheme name="Verra -- SD VISta">
      <a:dk1>
        <a:sysClr val="windowText" lastClr="000000"/>
      </a:dk1>
      <a:lt1>
        <a:sysClr val="window" lastClr="FFFFFF"/>
      </a:lt1>
      <a:dk2>
        <a:srgbClr val="4F5150"/>
      </a:dk2>
      <a:lt2>
        <a:srgbClr val="F4FFFB"/>
      </a:lt2>
      <a:accent1>
        <a:srgbClr val="DAAE28"/>
      </a:accent1>
      <a:accent2>
        <a:srgbClr val="2B3957"/>
      </a:accent2>
      <a:accent3>
        <a:srgbClr val="00ADC5"/>
      </a:accent3>
      <a:accent4>
        <a:srgbClr val="66AD47"/>
      </a:accent4>
      <a:accent5>
        <a:srgbClr val="067198"/>
      </a:accent5>
      <a:accent6>
        <a:srgbClr val="00ADC5"/>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3D242B-0246-044F-805F-46FFBAD72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3600</Words>
  <Characters>20521</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0</vt:lpstr>
    </vt:vector>
  </TitlesOfParts>
  <Company/>
  <LinksUpToDate>false</LinksUpToDate>
  <CharactersWithSpaces>24073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dc:title>
  <dc:subject/>
  <dc:creator>Verra</dc:creator>
  <cp:keywords/>
  <dc:description/>
  <cp:lastModifiedBy>Angga G. Pratama</cp:lastModifiedBy>
  <cp:revision>4</cp:revision>
  <cp:lastPrinted>2018-06-01T03:39:00Z</cp:lastPrinted>
  <dcterms:created xsi:type="dcterms:W3CDTF">2020-05-15T03:27:00Z</dcterms:created>
  <dcterms:modified xsi:type="dcterms:W3CDTF">2020-05-15T14:04:00Z</dcterms:modified>
</cp:coreProperties>
</file>